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C8720F" w:rsidRDefault="00096BC1" w:rsidP="00C8720F">
      <w:pPr>
        <w:ind w:right="2520"/>
        <w:jc w:val="center"/>
        <w:rPr>
          <w:rFonts w:ascii="Georgia" w:hAnsi="Georgia" w:cs="Arial"/>
          <w:b/>
          <w:bCs/>
          <w:color w:val="333333"/>
          <w:szCs w:val="15"/>
          <w:shd w:val="clear" w:color="auto" w:fill="FFFFFF"/>
        </w:rPr>
      </w:pPr>
      <w:r w:rsidRPr="00C8720F">
        <w:rPr>
          <w:rFonts w:ascii="Georgia" w:hAnsi="Georgia" w:cs="Arial"/>
          <w:b/>
          <w:bCs/>
          <w:color w:val="333333"/>
          <w:szCs w:val="15"/>
          <w:shd w:val="clear" w:color="auto" w:fill="FFFFFF"/>
        </w:rPr>
        <w:t>INVESTORS' RIGHTS AGREEMENT</w:t>
      </w:r>
    </w:p>
    <w:p w:rsidR="00096BC1" w:rsidRPr="00C8720F" w:rsidRDefault="00096BC1" w:rsidP="00C8720F">
      <w:pPr>
        <w:shd w:val="clear" w:color="auto" w:fill="FFFFFF"/>
        <w:spacing w:before="240" w:after="240" w:line="240" w:lineRule="auto"/>
        <w:ind w:right="2520"/>
        <w:outlineLvl w:val="1"/>
        <w:rPr>
          <w:rFonts w:ascii="Georgia" w:eastAsia="Times New Roman" w:hAnsi="Georgia" w:cs="Arial"/>
          <w:b/>
          <w:bCs/>
          <w:color w:val="C80000"/>
          <w:sz w:val="15"/>
          <w:szCs w:val="15"/>
        </w:rPr>
      </w:pPr>
      <w:r w:rsidRPr="00C8720F">
        <w:rPr>
          <w:rFonts w:ascii="Georgia" w:eastAsia="Times New Roman" w:hAnsi="Georgia" w:cs="Arial"/>
          <w:b/>
          <w:bCs/>
          <w:color w:val="C80000"/>
          <w:sz w:val="15"/>
          <w:szCs w:val="15"/>
        </w:rPr>
        <w:t>Featured Registration Rights Agreements</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This SEVENTH AMENDED AND RESTATED INVESTORS' RIGHTS AGREEMENT (the "</w:t>
      </w:r>
      <w:r w:rsidRPr="00C8720F">
        <w:rPr>
          <w:rFonts w:ascii="Georgia" w:eastAsia="Times New Roman" w:hAnsi="Georgia" w:cs="Arial"/>
          <w:color w:val="333333"/>
          <w:sz w:val="15"/>
          <w:szCs w:val="15"/>
          <w:u w:val="single"/>
        </w:rPr>
        <w:t>Agreement</w:t>
      </w:r>
      <w:r w:rsidRPr="00C8720F">
        <w:rPr>
          <w:rFonts w:ascii="Georgia" w:eastAsia="Times New Roman" w:hAnsi="Georgia" w:cs="Arial"/>
          <w:color w:val="333333"/>
          <w:sz w:val="15"/>
          <w:szCs w:val="15"/>
        </w:rPr>
        <w:t xml:space="preserve">") is made and entered into as of July 17, 2009, by and among </w:t>
      </w:r>
      <w:proofErr w:type="spellStart"/>
      <w:r w:rsidRPr="00C8720F">
        <w:rPr>
          <w:rFonts w:ascii="Georgia" w:eastAsia="Times New Roman" w:hAnsi="Georgia" w:cs="Arial"/>
          <w:color w:val="333333"/>
          <w:sz w:val="15"/>
          <w:szCs w:val="15"/>
        </w:rPr>
        <w:t>Solyndra</w:t>
      </w:r>
      <w:proofErr w:type="spellEnd"/>
      <w:r w:rsidRPr="00C8720F">
        <w:rPr>
          <w:rFonts w:ascii="Georgia" w:eastAsia="Times New Roman" w:hAnsi="Georgia" w:cs="Arial"/>
          <w:color w:val="333333"/>
          <w:sz w:val="15"/>
          <w:szCs w:val="15"/>
        </w:rPr>
        <w:t>, Inc., a Delaware corporation (the "</w:t>
      </w:r>
      <w:r w:rsidRPr="00C8720F">
        <w:rPr>
          <w:rFonts w:ascii="Georgia" w:eastAsia="Times New Roman" w:hAnsi="Georgia" w:cs="Arial"/>
          <w:color w:val="333333"/>
          <w:sz w:val="15"/>
          <w:szCs w:val="15"/>
          <w:u w:val="single"/>
        </w:rPr>
        <w:t>Company</w:t>
      </w:r>
      <w:r w:rsidRPr="00C8720F">
        <w:rPr>
          <w:rFonts w:ascii="Georgia" w:eastAsia="Times New Roman" w:hAnsi="Georgia" w:cs="Arial"/>
          <w:color w:val="333333"/>
          <w:sz w:val="15"/>
          <w:szCs w:val="15"/>
        </w:rPr>
        <w:t>"), the investors listed on </w:t>
      </w:r>
      <w:r w:rsidRPr="00C8720F">
        <w:rPr>
          <w:rFonts w:ascii="Georgia" w:eastAsia="Times New Roman" w:hAnsi="Georgia" w:cs="Arial"/>
          <w:color w:val="333333"/>
          <w:sz w:val="15"/>
          <w:szCs w:val="15"/>
          <w:u w:val="single"/>
        </w:rPr>
        <w:t>Schedule A</w:t>
      </w:r>
      <w:r w:rsidRPr="00C8720F">
        <w:rPr>
          <w:rFonts w:ascii="Georgia" w:eastAsia="Times New Roman" w:hAnsi="Georgia" w:cs="Arial"/>
          <w:color w:val="333333"/>
          <w:sz w:val="15"/>
          <w:szCs w:val="15"/>
        </w:rPr>
        <w:t> hereto (the "</w:t>
      </w:r>
      <w:r w:rsidRPr="00C8720F">
        <w:rPr>
          <w:rFonts w:ascii="Georgia" w:eastAsia="Times New Roman" w:hAnsi="Georgia" w:cs="Arial"/>
          <w:color w:val="333333"/>
          <w:sz w:val="15"/>
          <w:szCs w:val="15"/>
          <w:u w:val="single"/>
        </w:rPr>
        <w:t>Series A Investors</w:t>
      </w:r>
      <w:r w:rsidRPr="00C8720F">
        <w:rPr>
          <w:rFonts w:ascii="Georgia" w:eastAsia="Times New Roman" w:hAnsi="Georgia" w:cs="Arial"/>
          <w:color w:val="333333"/>
          <w:sz w:val="15"/>
          <w:szCs w:val="15"/>
        </w:rPr>
        <w:t>"), the investors listed on </w:t>
      </w:r>
      <w:r w:rsidRPr="00C8720F">
        <w:rPr>
          <w:rFonts w:ascii="Georgia" w:eastAsia="Times New Roman" w:hAnsi="Georgia" w:cs="Arial"/>
          <w:color w:val="333333"/>
          <w:sz w:val="15"/>
          <w:szCs w:val="15"/>
          <w:u w:val="single"/>
        </w:rPr>
        <w:t>Schedule B</w:t>
      </w:r>
      <w:r w:rsidRPr="00C8720F">
        <w:rPr>
          <w:rFonts w:ascii="Georgia" w:eastAsia="Times New Roman" w:hAnsi="Georgia" w:cs="Arial"/>
          <w:color w:val="333333"/>
          <w:sz w:val="15"/>
          <w:szCs w:val="15"/>
        </w:rPr>
        <w:t> hereto (the "</w:t>
      </w:r>
      <w:r w:rsidRPr="00C8720F">
        <w:rPr>
          <w:rFonts w:ascii="Georgia" w:eastAsia="Times New Roman" w:hAnsi="Georgia" w:cs="Arial"/>
          <w:color w:val="333333"/>
          <w:sz w:val="15"/>
          <w:szCs w:val="15"/>
          <w:u w:val="single"/>
        </w:rPr>
        <w:t>Series B Investors</w:t>
      </w:r>
      <w:r w:rsidRPr="00C8720F">
        <w:rPr>
          <w:rFonts w:ascii="Georgia" w:eastAsia="Times New Roman" w:hAnsi="Georgia" w:cs="Arial"/>
          <w:color w:val="333333"/>
          <w:sz w:val="15"/>
          <w:szCs w:val="15"/>
        </w:rPr>
        <w:t>"), the investors listed on </w:t>
      </w:r>
      <w:r w:rsidRPr="00C8720F">
        <w:rPr>
          <w:rFonts w:ascii="Georgia" w:eastAsia="Times New Roman" w:hAnsi="Georgia" w:cs="Arial"/>
          <w:color w:val="333333"/>
          <w:sz w:val="15"/>
          <w:szCs w:val="15"/>
          <w:u w:val="single"/>
        </w:rPr>
        <w:t>Schedule C</w:t>
      </w:r>
      <w:r w:rsidRPr="00C8720F">
        <w:rPr>
          <w:rFonts w:ascii="Georgia" w:eastAsia="Times New Roman" w:hAnsi="Georgia" w:cs="Arial"/>
          <w:color w:val="333333"/>
          <w:sz w:val="15"/>
          <w:szCs w:val="15"/>
        </w:rPr>
        <w:t> hereto, (the "</w:t>
      </w:r>
      <w:r w:rsidRPr="00C8720F">
        <w:rPr>
          <w:rFonts w:ascii="Georgia" w:eastAsia="Times New Roman" w:hAnsi="Georgia" w:cs="Arial"/>
          <w:color w:val="333333"/>
          <w:sz w:val="15"/>
          <w:szCs w:val="15"/>
          <w:u w:val="single"/>
        </w:rPr>
        <w:t>Series C-1 Investors</w:t>
      </w:r>
      <w:r w:rsidRPr="00C8720F">
        <w:rPr>
          <w:rFonts w:ascii="Georgia" w:eastAsia="Times New Roman" w:hAnsi="Georgia" w:cs="Arial"/>
          <w:color w:val="333333"/>
          <w:sz w:val="15"/>
          <w:szCs w:val="15"/>
        </w:rPr>
        <w:t>"), the investors listed on </w:t>
      </w:r>
      <w:r w:rsidRPr="00C8720F">
        <w:rPr>
          <w:rFonts w:ascii="Georgia" w:eastAsia="Times New Roman" w:hAnsi="Georgia" w:cs="Arial"/>
          <w:color w:val="333333"/>
          <w:sz w:val="15"/>
          <w:szCs w:val="15"/>
          <w:u w:val="single"/>
        </w:rPr>
        <w:t xml:space="preserve">Schedule </w:t>
      </w:r>
      <w:proofErr w:type="spellStart"/>
      <w:r w:rsidRPr="00C8720F">
        <w:rPr>
          <w:rFonts w:ascii="Georgia" w:eastAsia="Times New Roman" w:hAnsi="Georgia" w:cs="Arial"/>
          <w:color w:val="333333"/>
          <w:sz w:val="15"/>
          <w:szCs w:val="15"/>
          <w:u w:val="single"/>
        </w:rPr>
        <w:t>D</w:t>
      </w:r>
      <w:r w:rsidRPr="00C8720F">
        <w:rPr>
          <w:rFonts w:ascii="Georgia" w:eastAsia="Times New Roman" w:hAnsi="Georgia" w:cs="Arial"/>
          <w:color w:val="333333"/>
          <w:sz w:val="15"/>
          <w:szCs w:val="15"/>
        </w:rPr>
        <w:t>hereto</w:t>
      </w:r>
      <w:proofErr w:type="spellEnd"/>
      <w:r w:rsidRPr="00C8720F">
        <w:rPr>
          <w:rFonts w:ascii="Georgia" w:eastAsia="Times New Roman" w:hAnsi="Georgia" w:cs="Arial"/>
          <w:color w:val="333333"/>
          <w:sz w:val="15"/>
          <w:szCs w:val="15"/>
        </w:rPr>
        <w:t xml:space="preserve"> (the "</w:t>
      </w:r>
      <w:r w:rsidRPr="00C8720F">
        <w:rPr>
          <w:rFonts w:ascii="Georgia" w:eastAsia="Times New Roman" w:hAnsi="Georgia" w:cs="Arial"/>
          <w:color w:val="333333"/>
          <w:sz w:val="15"/>
          <w:szCs w:val="15"/>
          <w:u w:val="single"/>
        </w:rPr>
        <w:t>Series C-2 Investors</w:t>
      </w:r>
      <w:r w:rsidRPr="00C8720F">
        <w:rPr>
          <w:rFonts w:ascii="Georgia" w:eastAsia="Times New Roman" w:hAnsi="Georgia" w:cs="Arial"/>
          <w:color w:val="333333"/>
          <w:sz w:val="15"/>
          <w:szCs w:val="15"/>
        </w:rPr>
        <w:t>"), the investors listed on </w:t>
      </w:r>
      <w:r w:rsidRPr="00C8720F">
        <w:rPr>
          <w:rFonts w:ascii="Georgia" w:eastAsia="Times New Roman" w:hAnsi="Georgia" w:cs="Arial"/>
          <w:color w:val="333333"/>
          <w:sz w:val="15"/>
          <w:szCs w:val="15"/>
          <w:u w:val="single"/>
        </w:rPr>
        <w:t>Schedule E</w:t>
      </w:r>
      <w:r w:rsidRPr="00C8720F">
        <w:rPr>
          <w:rFonts w:ascii="Georgia" w:eastAsia="Times New Roman" w:hAnsi="Georgia" w:cs="Arial"/>
          <w:color w:val="333333"/>
          <w:sz w:val="15"/>
          <w:szCs w:val="15"/>
        </w:rPr>
        <w:t> hereto (the "</w:t>
      </w:r>
      <w:r w:rsidRPr="00C8720F">
        <w:rPr>
          <w:rFonts w:ascii="Georgia" w:eastAsia="Times New Roman" w:hAnsi="Georgia" w:cs="Arial"/>
          <w:color w:val="333333"/>
          <w:sz w:val="15"/>
          <w:szCs w:val="15"/>
          <w:u w:val="single"/>
        </w:rPr>
        <w:t>Series D Investors</w:t>
      </w:r>
      <w:r w:rsidRPr="00C8720F">
        <w:rPr>
          <w:rFonts w:ascii="Georgia" w:eastAsia="Times New Roman" w:hAnsi="Georgia" w:cs="Arial"/>
          <w:color w:val="333333"/>
          <w:sz w:val="15"/>
          <w:szCs w:val="15"/>
        </w:rPr>
        <w:t>"), the parties listed on </w:t>
      </w:r>
      <w:r w:rsidRPr="00C8720F">
        <w:rPr>
          <w:rFonts w:ascii="Georgia" w:eastAsia="Times New Roman" w:hAnsi="Georgia" w:cs="Arial"/>
          <w:color w:val="333333"/>
          <w:sz w:val="15"/>
          <w:szCs w:val="15"/>
          <w:u w:val="single"/>
        </w:rPr>
        <w:t>Schedule F</w:t>
      </w:r>
      <w:r w:rsidRPr="00C8720F">
        <w:rPr>
          <w:rFonts w:ascii="Georgia" w:eastAsia="Times New Roman" w:hAnsi="Georgia" w:cs="Arial"/>
          <w:color w:val="333333"/>
          <w:sz w:val="15"/>
          <w:szCs w:val="15"/>
        </w:rPr>
        <w:t> hereto, (the "</w:t>
      </w:r>
      <w:r w:rsidRPr="00C8720F">
        <w:rPr>
          <w:rFonts w:ascii="Georgia" w:eastAsia="Times New Roman" w:hAnsi="Georgia" w:cs="Arial"/>
          <w:color w:val="333333"/>
          <w:sz w:val="15"/>
          <w:szCs w:val="15"/>
          <w:u w:val="single"/>
        </w:rPr>
        <w:t>Bridge Investors</w:t>
      </w:r>
      <w:r w:rsidRPr="00C8720F">
        <w:rPr>
          <w:rFonts w:ascii="Georgia" w:eastAsia="Times New Roman" w:hAnsi="Georgia" w:cs="Arial"/>
          <w:color w:val="333333"/>
          <w:sz w:val="15"/>
          <w:szCs w:val="15"/>
        </w:rPr>
        <w:t>"), the parties listed on </w:t>
      </w:r>
      <w:r w:rsidRPr="00C8720F">
        <w:rPr>
          <w:rFonts w:ascii="Georgia" w:eastAsia="Times New Roman" w:hAnsi="Georgia" w:cs="Arial"/>
          <w:color w:val="333333"/>
          <w:sz w:val="15"/>
          <w:szCs w:val="15"/>
          <w:u w:val="single"/>
        </w:rPr>
        <w:t>Schedule G</w:t>
      </w:r>
      <w:r w:rsidRPr="00C8720F">
        <w:rPr>
          <w:rFonts w:ascii="Georgia" w:eastAsia="Times New Roman" w:hAnsi="Georgia" w:cs="Arial"/>
          <w:color w:val="333333"/>
          <w:sz w:val="15"/>
          <w:szCs w:val="15"/>
        </w:rPr>
        <w:t> hereto (the "</w:t>
      </w:r>
      <w:r w:rsidRPr="00C8720F">
        <w:rPr>
          <w:rFonts w:ascii="Georgia" w:eastAsia="Times New Roman" w:hAnsi="Georgia" w:cs="Arial"/>
          <w:color w:val="333333"/>
          <w:sz w:val="15"/>
          <w:szCs w:val="15"/>
          <w:u w:val="single"/>
        </w:rPr>
        <w:t>Series E Investors</w:t>
      </w:r>
      <w:r w:rsidRPr="00C8720F">
        <w:rPr>
          <w:rFonts w:ascii="Georgia" w:eastAsia="Times New Roman" w:hAnsi="Georgia" w:cs="Arial"/>
          <w:color w:val="333333"/>
          <w:sz w:val="15"/>
          <w:szCs w:val="15"/>
        </w:rPr>
        <w:t>," and together with the Series A Investors, the Series B Investors, the Series C-1 Investors, the Series C-2 Investors, the Series D Investors, and the Bridge Investors, the "</w:t>
      </w:r>
      <w:r w:rsidRPr="00C8720F">
        <w:rPr>
          <w:rFonts w:ascii="Georgia" w:eastAsia="Times New Roman" w:hAnsi="Georgia" w:cs="Arial"/>
          <w:color w:val="333333"/>
          <w:sz w:val="15"/>
          <w:szCs w:val="15"/>
          <w:u w:val="single"/>
        </w:rPr>
        <w:t>Prior Investors</w:t>
      </w:r>
      <w:r w:rsidRPr="00C8720F">
        <w:rPr>
          <w:rFonts w:ascii="Georgia" w:eastAsia="Times New Roman" w:hAnsi="Georgia" w:cs="Arial"/>
          <w:color w:val="333333"/>
          <w:sz w:val="15"/>
          <w:szCs w:val="15"/>
        </w:rPr>
        <w:t>"), the parties listed on </w:t>
      </w:r>
      <w:r w:rsidRPr="00C8720F">
        <w:rPr>
          <w:rFonts w:ascii="Georgia" w:eastAsia="Times New Roman" w:hAnsi="Georgia" w:cs="Arial"/>
          <w:color w:val="333333"/>
          <w:sz w:val="15"/>
          <w:szCs w:val="15"/>
          <w:u w:val="single"/>
        </w:rPr>
        <w:t>Schedule H</w:t>
      </w:r>
      <w:r w:rsidRPr="00C8720F">
        <w:rPr>
          <w:rFonts w:ascii="Georgia" w:eastAsia="Times New Roman" w:hAnsi="Georgia" w:cs="Arial"/>
          <w:color w:val="333333"/>
          <w:sz w:val="15"/>
          <w:szCs w:val="15"/>
        </w:rPr>
        <w:t> hereto, (the "</w:t>
      </w:r>
      <w:r w:rsidRPr="00C8720F">
        <w:rPr>
          <w:rFonts w:ascii="Georgia" w:eastAsia="Times New Roman" w:hAnsi="Georgia" w:cs="Arial"/>
          <w:color w:val="333333"/>
          <w:sz w:val="15"/>
          <w:szCs w:val="15"/>
          <w:u w:val="single"/>
        </w:rPr>
        <w:t>Series F Investors</w:t>
      </w:r>
      <w:r w:rsidRPr="00C8720F">
        <w:rPr>
          <w:rFonts w:ascii="Georgia" w:eastAsia="Times New Roman" w:hAnsi="Georgia" w:cs="Arial"/>
          <w:color w:val="333333"/>
          <w:sz w:val="15"/>
          <w:szCs w:val="15"/>
        </w:rPr>
        <w:t>" and together with the Prior Investors, the "</w:t>
      </w:r>
      <w:r w:rsidRPr="00C8720F">
        <w:rPr>
          <w:rFonts w:ascii="Georgia" w:eastAsia="Times New Roman" w:hAnsi="Georgia" w:cs="Arial"/>
          <w:color w:val="333333"/>
          <w:sz w:val="15"/>
          <w:szCs w:val="15"/>
          <w:u w:val="single"/>
        </w:rPr>
        <w:t>Investors</w:t>
      </w:r>
      <w:r w:rsidRPr="00C8720F">
        <w:rPr>
          <w:rFonts w:ascii="Georgia" w:eastAsia="Times New Roman" w:hAnsi="Georgia" w:cs="Arial"/>
          <w:color w:val="333333"/>
          <w:sz w:val="15"/>
          <w:szCs w:val="15"/>
        </w:rPr>
        <w:t>") and the beneficial holders of the Company's common stock ("</w:t>
      </w:r>
      <w:r w:rsidRPr="00C8720F">
        <w:rPr>
          <w:rFonts w:ascii="Georgia" w:eastAsia="Times New Roman" w:hAnsi="Georgia" w:cs="Arial"/>
          <w:color w:val="333333"/>
          <w:sz w:val="15"/>
          <w:szCs w:val="15"/>
          <w:u w:val="single"/>
        </w:rPr>
        <w:t>Common Stock</w:t>
      </w:r>
      <w:r w:rsidRPr="00C8720F">
        <w:rPr>
          <w:rFonts w:ascii="Georgia" w:eastAsia="Times New Roman" w:hAnsi="Georgia" w:cs="Arial"/>
          <w:color w:val="333333"/>
          <w:sz w:val="15"/>
          <w:szCs w:val="15"/>
        </w:rPr>
        <w:t>") listed on </w:t>
      </w:r>
      <w:r w:rsidRPr="00C8720F">
        <w:rPr>
          <w:rFonts w:ascii="Georgia" w:eastAsia="Times New Roman" w:hAnsi="Georgia" w:cs="Arial"/>
          <w:color w:val="333333"/>
          <w:sz w:val="15"/>
          <w:szCs w:val="15"/>
          <w:u w:val="single"/>
        </w:rPr>
        <w:t>Schedule I</w:t>
      </w:r>
      <w:r w:rsidRPr="00C8720F">
        <w:rPr>
          <w:rFonts w:ascii="Georgia" w:eastAsia="Times New Roman" w:hAnsi="Georgia" w:cs="Arial"/>
          <w:color w:val="333333"/>
          <w:sz w:val="15"/>
          <w:szCs w:val="15"/>
        </w:rPr>
        <w:t> hereto (each of which is herein referred to as a "</w:t>
      </w:r>
      <w:r w:rsidRPr="00C8720F">
        <w:rPr>
          <w:rFonts w:ascii="Georgia" w:eastAsia="Times New Roman" w:hAnsi="Georgia" w:cs="Arial"/>
          <w:color w:val="333333"/>
          <w:sz w:val="15"/>
          <w:szCs w:val="15"/>
          <w:u w:val="single"/>
        </w:rPr>
        <w:t>Common Holder</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the Company and certain of the Prior Investors have previously entered into an Investors' Rights Agreement, dated as of February 10, 2006 (the "</w:t>
      </w:r>
      <w:r w:rsidRPr="00C8720F">
        <w:rPr>
          <w:rFonts w:ascii="Georgia" w:eastAsia="Times New Roman" w:hAnsi="Georgia" w:cs="Arial"/>
          <w:color w:val="333333"/>
          <w:sz w:val="15"/>
          <w:szCs w:val="15"/>
          <w:u w:val="single"/>
        </w:rPr>
        <w:t>Original Rights Agreement</w:t>
      </w:r>
      <w:r w:rsidRPr="00C8720F">
        <w:rPr>
          <w:rFonts w:ascii="Georgia" w:eastAsia="Times New Roman" w:hAnsi="Georgia" w:cs="Arial"/>
          <w:color w:val="333333"/>
          <w:sz w:val="15"/>
          <w:szCs w:val="15"/>
        </w:rPr>
        <w:t>") in connection with the Series A Investors' purchase of shares of the Company's Series A-1 and Series A-2 Preferred Stock (the "</w:t>
      </w:r>
      <w:r w:rsidRPr="00C8720F">
        <w:rPr>
          <w:rFonts w:ascii="Georgia" w:eastAsia="Times New Roman" w:hAnsi="Georgia" w:cs="Arial"/>
          <w:color w:val="333333"/>
          <w:sz w:val="15"/>
          <w:szCs w:val="15"/>
          <w:u w:val="single"/>
        </w:rPr>
        <w:t>Series A Stock</w:t>
      </w:r>
      <w:r w:rsidRPr="00C8720F">
        <w:rPr>
          <w:rFonts w:ascii="Georgia" w:eastAsia="Times New Roman" w:hAnsi="Georgia" w:cs="Arial"/>
          <w:color w:val="333333"/>
          <w:sz w:val="15"/>
          <w:szCs w:val="15"/>
        </w:rPr>
        <w:t>"), pursuant to the terms and conditions of a Series A-1 and Series A-2 Preferred Stock Purchase Agreement among the Company and the Series A Investors, dated as of February 10, 2006 (the "</w:t>
      </w:r>
      <w:r w:rsidRPr="00C8720F">
        <w:rPr>
          <w:rFonts w:ascii="Georgia" w:eastAsia="Times New Roman" w:hAnsi="Georgia" w:cs="Arial"/>
          <w:color w:val="333333"/>
          <w:sz w:val="15"/>
          <w:szCs w:val="15"/>
          <w:u w:val="single"/>
        </w:rPr>
        <w:t>Series A Agreement</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the Company and certain of the Prior Investors have previously entered into that certain First Amended and Restated Investors' Rights Agreement, dated as of October 13, 2006 (the "</w:t>
      </w:r>
      <w:r w:rsidRPr="00C8720F">
        <w:rPr>
          <w:rFonts w:ascii="Georgia" w:eastAsia="Times New Roman" w:hAnsi="Georgia" w:cs="Arial"/>
          <w:color w:val="333333"/>
          <w:sz w:val="15"/>
          <w:szCs w:val="15"/>
          <w:u w:val="single"/>
        </w:rPr>
        <w:t>First Amended Rights Agreement</w:t>
      </w:r>
      <w:r w:rsidRPr="00C8720F">
        <w:rPr>
          <w:rFonts w:ascii="Georgia" w:eastAsia="Times New Roman" w:hAnsi="Georgia" w:cs="Arial"/>
          <w:color w:val="333333"/>
          <w:sz w:val="15"/>
          <w:szCs w:val="15"/>
        </w:rPr>
        <w:t>"), which amended and restated the Original Rights Agreement in connection with the Series B Investors' purchase of shares of the Company's Series B Preferred Stock (the "</w:t>
      </w:r>
      <w:r w:rsidRPr="00C8720F">
        <w:rPr>
          <w:rFonts w:ascii="Georgia" w:eastAsia="Times New Roman" w:hAnsi="Georgia" w:cs="Arial"/>
          <w:color w:val="333333"/>
          <w:sz w:val="15"/>
          <w:szCs w:val="15"/>
          <w:u w:val="single"/>
        </w:rPr>
        <w:t>Series B Stock</w:t>
      </w:r>
      <w:r w:rsidRPr="00C8720F">
        <w:rPr>
          <w:rFonts w:ascii="Georgia" w:eastAsia="Times New Roman" w:hAnsi="Georgia" w:cs="Arial"/>
          <w:color w:val="333333"/>
          <w:sz w:val="15"/>
          <w:szCs w:val="15"/>
        </w:rPr>
        <w:t>"), pursuant to the terms and conditions of that certain Series B Preferred Stock Purchase Agreement by and among the Company and the Series B Investors, dated as of October 13, 2006 (the "</w:t>
      </w:r>
      <w:r w:rsidRPr="00C8720F">
        <w:rPr>
          <w:rFonts w:ascii="Georgia" w:eastAsia="Times New Roman" w:hAnsi="Georgia" w:cs="Arial"/>
          <w:color w:val="333333"/>
          <w:sz w:val="15"/>
          <w:szCs w:val="15"/>
          <w:u w:val="single"/>
        </w:rPr>
        <w:t>Series B Agreement</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the Company and certain of the Prior Investors have previously entered into that certain Second Amended and Restated Investors' Rights Agreement, dated as of July 9, 2007 (the "</w:t>
      </w:r>
      <w:r w:rsidRPr="00C8720F">
        <w:rPr>
          <w:rFonts w:ascii="Georgia" w:eastAsia="Times New Roman" w:hAnsi="Georgia" w:cs="Arial"/>
          <w:color w:val="333333"/>
          <w:sz w:val="15"/>
          <w:szCs w:val="15"/>
          <w:u w:val="single"/>
        </w:rPr>
        <w:t>Second Amended Rights Agreement</w:t>
      </w:r>
      <w:r w:rsidRPr="00C8720F">
        <w:rPr>
          <w:rFonts w:ascii="Georgia" w:eastAsia="Times New Roman" w:hAnsi="Georgia" w:cs="Arial"/>
          <w:color w:val="333333"/>
          <w:sz w:val="15"/>
          <w:szCs w:val="15"/>
        </w:rPr>
        <w:t>"), which amended and restated the First Amended Rights Agreement in connection with the Series C-1 Investors' purchase of shares of the Company's Series C-1 Preferred Stock (the "</w:t>
      </w:r>
      <w:r w:rsidRPr="00C8720F">
        <w:rPr>
          <w:rFonts w:ascii="Georgia" w:eastAsia="Times New Roman" w:hAnsi="Georgia" w:cs="Arial"/>
          <w:color w:val="333333"/>
          <w:sz w:val="15"/>
          <w:szCs w:val="15"/>
          <w:u w:val="single"/>
        </w:rPr>
        <w:t>Series C-1 Stock</w:t>
      </w:r>
      <w:r w:rsidRPr="00C8720F">
        <w:rPr>
          <w:rFonts w:ascii="Georgia" w:eastAsia="Times New Roman" w:hAnsi="Georgia" w:cs="Arial"/>
          <w:color w:val="333333"/>
          <w:sz w:val="15"/>
          <w:szCs w:val="15"/>
        </w:rPr>
        <w:t>"), pursuant to the terms and conditions of that certain Series C-1 Preferred Stock Purchase Agreement by and among the Company and the Series C-1 Investors, dated as of July 9, 2007 (the "</w:t>
      </w:r>
      <w:r w:rsidRPr="00C8720F">
        <w:rPr>
          <w:rFonts w:ascii="Georgia" w:eastAsia="Times New Roman" w:hAnsi="Georgia" w:cs="Arial"/>
          <w:color w:val="333333"/>
          <w:sz w:val="15"/>
          <w:szCs w:val="15"/>
          <w:u w:val="single"/>
        </w:rPr>
        <w:t>Series C-1 Agreement</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the Company and certain of the Prior Investors have previously entered into that certain Third Amended and Restated Investors' Rights Agreement, dated as of December 6, 2007 (the "</w:t>
      </w:r>
      <w:r w:rsidRPr="00C8720F">
        <w:rPr>
          <w:rFonts w:ascii="Georgia" w:eastAsia="Times New Roman" w:hAnsi="Georgia" w:cs="Arial"/>
          <w:color w:val="333333"/>
          <w:sz w:val="15"/>
          <w:szCs w:val="15"/>
          <w:u w:val="single"/>
        </w:rPr>
        <w:t>Third Amended Rights Agreement</w:t>
      </w:r>
      <w:r w:rsidRPr="00C8720F">
        <w:rPr>
          <w:rFonts w:ascii="Georgia" w:eastAsia="Times New Roman" w:hAnsi="Georgia" w:cs="Arial"/>
          <w:color w:val="333333"/>
          <w:sz w:val="15"/>
          <w:szCs w:val="15"/>
        </w:rPr>
        <w:t>"), which amended and restated the Second Amended Rights Agreement in connection with the Series C-2 Investors' purchase of shares of the Company's Series C-2 Preferred Stock (the "</w:t>
      </w:r>
      <w:r w:rsidRPr="00C8720F">
        <w:rPr>
          <w:rFonts w:ascii="Georgia" w:eastAsia="Times New Roman" w:hAnsi="Georgia" w:cs="Arial"/>
          <w:color w:val="333333"/>
          <w:sz w:val="15"/>
          <w:szCs w:val="15"/>
          <w:u w:val="single"/>
        </w:rPr>
        <w:t>Series C-2 Stock</w:t>
      </w:r>
      <w:r w:rsidRPr="00C8720F">
        <w:rPr>
          <w:rFonts w:ascii="Georgia" w:eastAsia="Times New Roman" w:hAnsi="Georgia" w:cs="Arial"/>
          <w:color w:val="333333"/>
          <w:sz w:val="15"/>
          <w:szCs w:val="15"/>
        </w:rPr>
        <w:t>"), pursuant to the terms and conditions of that certain Series C-2 Preferred Stock Purchase Agreement by and among the Company and the Series C-2 Investors, dated as of December 6, 2007 (the "</w:t>
      </w:r>
      <w:r w:rsidRPr="00C8720F">
        <w:rPr>
          <w:rFonts w:ascii="Georgia" w:eastAsia="Times New Roman" w:hAnsi="Georgia" w:cs="Arial"/>
          <w:color w:val="333333"/>
          <w:sz w:val="15"/>
          <w:szCs w:val="15"/>
          <w:u w:val="single"/>
        </w:rPr>
        <w:t>Series C-2 Agreement</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25"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the Company and certain of the Prior Investors have previously entered into that certain Fourth Amended and Restated Investors' Rights Agreement, dated as of March 25, 2008 (the "</w:t>
      </w:r>
      <w:r w:rsidRPr="00C8720F">
        <w:rPr>
          <w:rFonts w:ascii="Georgia" w:eastAsia="Times New Roman" w:hAnsi="Georgia" w:cs="Arial"/>
          <w:color w:val="333333"/>
          <w:sz w:val="15"/>
          <w:szCs w:val="15"/>
          <w:u w:val="single"/>
        </w:rPr>
        <w:t>Fourth Amended Rights Agreement</w:t>
      </w:r>
      <w:r w:rsidRPr="00C8720F">
        <w:rPr>
          <w:rFonts w:ascii="Georgia" w:eastAsia="Times New Roman" w:hAnsi="Georgia" w:cs="Arial"/>
          <w:color w:val="333333"/>
          <w:sz w:val="15"/>
          <w:szCs w:val="15"/>
        </w:rPr>
        <w:t>"), which amended and restated the Third Amended Rights Agreement in connection with the Series D Investors' agreement to purchase shares of the Company's Series D-1 Preferred Stock (the "</w:t>
      </w:r>
      <w:r w:rsidRPr="00C8720F">
        <w:rPr>
          <w:rFonts w:ascii="Georgia" w:eastAsia="Times New Roman" w:hAnsi="Georgia" w:cs="Arial"/>
          <w:color w:val="333333"/>
          <w:sz w:val="15"/>
          <w:szCs w:val="15"/>
          <w:u w:val="single"/>
        </w:rPr>
        <w:t>Series D-1 Stock</w:t>
      </w:r>
      <w:r w:rsidRPr="00C8720F">
        <w:rPr>
          <w:rFonts w:ascii="Georgia" w:eastAsia="Times New Roman" w:hAnsi="Georgia" w:cs="Arial"/>
          <w:color w:val="333333"/>
          <w:sz w:val="15"/>
          <w:szCs w:val="15"/>
        </w:rPr>
        <w:t>"), Series D-2 Preferred Stock (the "</w:t>
      </w:r>
      <w:r w:rsidRPr="00C8720F">
        <w:rPr>
          <w:rFonts w:ascii="Georgia" w:eastAsia="Times New Roman" w:hAnsi="Georgia" w:cs="Arial"/>
          <w:color w:val="333333"/>
          <w:sz w:val="15"/>
          <w:szCs w:val="15"/>
          <w:u w:val="single"/>
        </w:rPr>
        <w:t>Series D-2 Stock</w:t>
      </w:r>
      <w:r w:rsidRPr="00C8720F">
        <w:rPr>
          <w:rFonts w:ascii="Georgia" w:eastAsia="Times New Roman" w:hAnsi="Georgia" w:cs="Arial"/>
          <w:color w:val="333333"/>
          <w:sz w:val="15"/>
          <w:szCs w:val="15"/>
        </w:rPr>
        <w:t>") and/or</w:t>
      </w:r>
      <w:r w:rsidRPr="00C8720F">
        <w:rPr>
          <w:rFonts w:ascii="Georgia" w:eastAsia="Times New Roman" w:hAnsi="Georgia" w:cs="Arial"/>
          <w:color w:val="333333"/>
          <w:sz w:val="15"/>
          <w:szCs w:val="15"/>
        </w:rPr>
        <w:br/>
        <w:t>Series D-3 Preferred Stock (the "</w:t>
      </w:r>
      <w:r w:rsidRPr="00C8720F">
        <w:rPr>
          <w:rFonts w:ascii="Georgia" w:eastAsia="Times New Roman" w:hAnsi="Georgia" w:cs="Arial"/>
          <w:color w:val="333333"/>
          <w:sz w:val="15"/>
          <w:szCs w:val="15"/>
          <w:u w:val="single"/>
        </w:rPr>
        <w:t>Series D-3 Stock</w:t>
      </w:r>
      <w:r w:rsidRPr="00C8720F">
        <w:rPr>
          <w:rFonts w:ascii="Georgia" w:eastAsia="Times New Roman" w:hAnsi="Georgia" w:cs="Arial"/>
          <w:color w:val="333333"/>
          <w:sz w:val="15"/>
          <w:szCs w:val="15"/>
        </w:rPr>
        <w:t>" and together with the Series D-1 Stock and the Series D-2 Stock, the "</w:t>
      </w:r>
      <w:r w:rsidRPr="00C8720F">
        <w:rPr>
          <w:rFonts w:ascii="Georgia" w:eastAsia="Times New Roman" w:hAnsi="Georgia" w:cs="Arial"/>
          <w:color w:val="333333"/>
          <w:sz w:val="15"/>
          <w:szCs w:val="15"/>
          <w:u w:val="single"/>
        </w:rPr>
        <w:t>Series D Stock</w:t>
      </w:r>
      <w:r w:rsidRPr="00C8720F">
        <w:rPr>
          <w:rFonts w:ascii="Georgia" w:eastAsia="Times New Roman" w:hAnsi="Georgia" w:cs="Arial"/>
          <w:color w:val="333333"/>
          <w:sz w:val="15"/>
          <w:szCs w:val="15"/>
        </w:rPr>
        <w:t>") from time-to-time upon request from the Company pursuant to the terms and conditions of that certain Equity Purchase Agreement by and among the Company and the Series D Investors, dated as of March 25, 2008, as amended from time to time (the "</w:t>
      </w:r>
      <w:r w:rsidRPr="00C8720F">
        <w:rPr>
          <w:rFonts w:ascii="Georgia" w:eastAsia="Times New Roman" w:hAnsi="Georgia" w:cs="Arial"/>
          <w:color w:val="333333"/>
          <w:sz w:val="15"/>
          <w:szCs w:val="15"/>
          <w:u w:val="single"/>
        </w:rPr>
        <w:t>Series D Agreement</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the Company and certain of the Prior Investors have previously entered into that certain Fifth Amended and Restated Investors' Rights Agreement, dated as of July 25, 2008 (the "</w:t>
      </w:r>
      <w:r w:rsidRPr="00C8720F">
        <w:rPr>
          <w:rFonts w:ascii="Georgia" w:eastAsia="Times New Roman" w:hAnsi="Georgia" w:cs="Arial"/>
          <w:color w:val="333333"/>
          <w:sz w:val="15"/>
          <w:szCs w:val="15"/>
          <w:u w:val="single"/>
        </w:rPr>
        <w:t>Fifth Amended Rights Agreement</w:t>
      </w:r>
      <w:r w:rsidRPr="00C8720F">
        <w:rPr>
          <w:rFonts w:ascii="Georgia" w:eastAsia="Times New Roman" w:hAnsi="Georgia" w:cs="Arial"/>
          <w:color w:val="333333"/>
          <w:sz w:val="15"/>
          <w:szCs w:val="15"/>
        </w:rPr>
        <w:t>"), which amended and restated the Fourth Amended Rights Agreement in connection with the Bridge Investors' agreement to purchase certain convertible promissory notes (the "</w:t>
      </w:r>
      <w:r w:rsidRPr="00C8720F">
        <w:rPr>
          <w:rFonts w:ascii="Georgia" w:eastAsia="Times New Roman" w:hAnsi="Georgia" w:cs="Arial"/>
          <w:color w:val="333333"/>
          <w:sz w:val="15"/>
          <w:szCs w:val="15"/>
          <w:u w:val="single"/>
        </w:rPr>
        <w:t>Notes</w:t>
      </w:r>
      <w:r w:rsidRPr="00C8720F">
        <w:rPr>
          <w:rFonts w:ascii="Georgia" w:eastAsia="Times New Roman" w:hAnsi="Georgia" w:cs="Arial"/>
          <w:color w:val="333333"/>
          <w:sz w:val="15"/>
          <w:szCs w:val="15"/>
        </w:rPr>
        <w:t>") and warrants from the Company pursuant to the terms and conditions of that certain Note and Warrant Purchase Agreement dated as of July 25, 2008 (as the same may be amended from time to time, the "</w:t>
      </w:r>
      <w:r w:rsidRPr="00C8720F">
        <w:rPr>
          <w:rFonts w:ascii="Georgia" w:eastAsia="Times New Roman" w:hAnsi="Georgia" w:cs="Arial"/>
          <w:color w:val="333333"/>
          <w:sz w:val="15"/>
          <w:szCs w:val="15"/>
          <w:u w:val="single"/>
        </w:rPr>
        <w:t>Bridge Agreement</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the Company and certain of the Prior Investors have previously entered into that certain Sixth Amended and Restated Investors' Rights Agreement, dated as of November 24, 2008 (the "</w:t>
      </w:r>
      <w:r w:rsidRPr="00C8720F">
        <w:rPr>
          <w:rFonts w:ascii="Georgia" w:eastAsia="Times New Roman" w:hAnsi="Georgia" w:cs="Arial"/>
          <w:color w:val="333333"/>
          <w:sz w:val="15"/>
          <w:szCs w:val="15"/>
          <w:u w:val="single"/>
        </w:rPr>
        <w:t>Sixth Amended Rights Agreement</w:t>
      </w:r>
      <w:r w:rsidRPr="00C8720F">
        <w:rPr>
          <w:rFonts w:ascii="Georgia" w:eastAsia="Times New Roman" w:hAnsi="Georgia" w:cs="Arial"/>
          <w:color w:val="333333"/>
          <w:sz w:val="15"/>
          <w:szCs w:val="15"/>
        </w:rPr>
        <w:t>"), which amended and restated the Fifth Amended Rights Agreement in connection with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xml:space="preserve">) the Series E Investors' agreement to purchase shares of the </w:t>
      </w:r>
      <w:r w:rsidRPr="00C8720F">
        <w:rPr>
          <w:rFonts w:ascii="Georgia" w:eastAsia="Times New Roman" w:hAnsi="Georgia" w:cs="Arial"/>
          <w:color w:val="333333"/>
          <w:sz w:val="15"/>
          <w:szCs w:val="15"/>
        </w:rPr>
        <w:lastRenderedPageBreak/>
        <w:t>Company's Series E Preferred Stock (the "</w:t>
      </w:r>
      <w:r w:rsidRPr="00C8720F">
        <w:rPr>
          <w:rFonts w:ascii="Georgia" w:eastAsia="Times New Roman" w:hAnsi="Georgia" w:cs="Arial"/>
          <w:color w:val="333333"/>
          <w:sz w:val="15"/>
          <w:szCs w:val="15"/>
          <w:u w:val="single"/>
        </w:rPr>
        <w:t>Series E Stock</w:t>
      </w:r>
      <w:r w:rsidRPr="00C8720F">
        <w:rPr>
          <w:rFonts w:ascii="Georgia" w:eastAsia="Times New Roman" w:hAnsi="Georgia" w:cs="Arial"/>
          <w:color w:val="333333"/>
          <w:sz w:val="15"/>
          <w:szCs w:val="15"/>
        </w:rPr>
        <w:t>") and warrants to purchase Common Stock pursuant to the terms of that certain Series E Preferred Stock Purchase Agreement by and among the Company and the Series E Investors, dated as of November 24, 2008 (the "</w:t>
      </w:r>
      <w:r w:rsidRPr="00C8720F">
        <w:rPr>
          <w:rFonts w:ascii="Georgia" w:eastAsia="Times New Roman" w:hAnsi="Georgia" w:cs="Arial"/>
          <w:color w:val="333333"/>
          <w:sz w:val="15"/>
          <w:szCs w:val="15"/>
          <w:u w:val="single"/>
        </w:rPr>
        <w:t>Series E Agreement</w:t>
      </w:r>
      <w:r w:rsidRPr="00C8720F">
        <w:rPr>
          <w:rFonts w:ascii="Georgia" w:eastAsia="Times New Roman" w:hAnsi="Georgia" w:cs="Arial"/>
          <w:color w:val="333333"/>
          <w:sz w:val="15"/>
          <w:szCs w:val="15"/>
        </w:rPr>
        <w:t>"), (ii) the Series D Investors agreement to exchange shares of Series D Stock for Series E Stock and warrants to purchase Common Stock pursuant to the terms of that certain Stock Exchange Agreement, dated as of November 24, 2008 (the "</w:t>
      </w:r>
      <w:r w:rsidRPr="00C8720F">
        <w:rPr>
          <w:rFonts w:ascii="Georgia" w:eastAsia="Times New Roman" w:hAnsi="Georgia" w:cs="Arial"/>
          <w:color w:val="333333"/>
          <w:sz w:val="15"/>
          <w:szCs w:val="15"/>
          <w:u w:val="single"/>
        </w:rPr>
        <w:t>Stock Exchange Agreement</w:t>
      </w:r>
      <w:r w:rsidRPr="00C8720F">
        <w:rPr>
          <w:rFonts w:ascii="Georgia" w:eastAsia="Times New Roman" w:hAnsi="Georgia" w:cs="Arial"/>
          <w:color w:val="333333"/>
          <w:sz w:val="15"/>
          <w:szCs w:val="15"/>
        </w:rPr>
        <w:t>") and (iii) the Bridge Investors agreement to convert the Notes into shares of Series E Stock and warrants to purchase Common Stock pursuant to the Series E Agreement;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concurrently with the execution of this Agreement, the Series F Investors and the Company are executing a Series F Preferred Stock Purchase Agreement (as may be amended from time to time, the "</w:t>
      </w:r>
      <w:r w:rsidRPr="00C8720F">
        <w:rPr>
          <w:rFonts w:ascii="Georgia" w:eastAsia="Times New Roman" w:hAnsi="Georgia" w:cs="Arial"/>
          <w:color w:val="333333"/>
          <w:sz w:val="15"/>
          <w:szCs w:val="15"/>
          <w:u w:val="single"/>
        </w:rPr>
        <w:t>Series F Agreement</w:t>
      </w:r>
      <w:r w:rsidRPr="00C8720F">
        <w:rPr>
          <w:rFonts w:ascii="Georgia" w:eastAsia="Times New Roman" w:hAnsi="Georgia" w:cs="Arial"/>
          <w:color w:val="333333"/>
          <w:sz w:val="15"/>
          <w:szCs w:val="15"/>
        </w:rPr>
        <w:t>"), pursuant to which the Series F Investors are agreeing to purchase shares of the Company's Series F Preferred Stock (the "</w:t>
      </w:r>
      <w:r w:rsidRPr="00C8720F">
        <w:rPr>
          <w:rFonts w:ascii="Georgia" w:eastAsia="Times New Roman" w:hAnsi="Georgia" w:cs="Arial"/>
          <w:color w:val="333333"/>
          <w:sz w:val="15"/>
          <w:szCs w:val="15"/>
          <w:u w:val="single"/>
        </w:rPr>
        <w:t>Series F Stock</w:t>
      </w:r>
      <w:r w:rsidRPr="00C8720F">
        <w:rPr>
          <w:rFonts w:ascii="Georgia" w:eastAsia="Times New Roman" w:hAnsi="Georgia" w:cs="Arial"/>
          <w:color w:val="333333"/>
          <w:sz w:val="15"/>
          <w:szCs w:val="15"/>
        </w:rPr>
        <w:t>") and warrants to purchase Common Stock;</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concurrently with the execution of this Agreement, the Company and Argonaut Ventures I, L.L.C. ("</w:t>
      </w:r>
      <w:r w:rsidRPr="00C8720F">
        <w:rPr>
          <w:rFonts w:ascii="Georgia" w:eastAsia="Times New Roman" w:hAnsi="Georgia" w:cs="Arial"/>
          <w:color w:val="333333"/>
          <w:sz w:val="15"/>
          <w:szCs w:val="15"/>
          <w:u w:val="single"/>
        </w:rPr>
        <w:t>Argonaut</w:t>
      </w:r>
      <w:r w:rsidRPr="00C8720F">
        <w:rPr>
          <w:rFonts w:ascii="Georgia" w:eastAsia="Times New Roman" w:hAnsi="Georgia" w:cs="Arial"/>
          <w:color w:val="333333"/>
          <w:sz w:val="15"/>
          <w:szCs w:val="15"/>
        </w:rPr>
        <w:t>") are entering into that certain Loan and Security Agreement of even date herewith (the "</w:t>
      </w:r>
      <w:r w:rsidRPr="00C8720F">
        <w:rPr>
          <w:rFonts w:ascii="Georgia" w:eastAsia="Times New Roman" w:hAnsi="Georgia" w:cs="Arial"/>
          <w:color w:val="333333"/>
          <w:sz w:val="15"/>
          <w:szCs w:val="15"/>
          <w:u w:val="single"/>
        </w:rPr>
        <w:t>Loan and Security Agreement</w:t>
      </w:r>
      <w:r w:rsidRPr="00C8720F">
        <w:rPr>
          <w:rFonts w:ascii="Georgia" w:eastAsia="Times New Roman" w:hAnsi="Georgia" w:cs="Arial"/>
          <w:color w:val="333333"/>
          <w:sz w:val="15"/>
          <w:szCs w:val="15"/>
        </w:rPr>
        <w:t>") pursuant to which, among other things,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Argonaut has agreed to extend to the Company a $50,000,000 revolving line of credit, (ii) the Company has issued to Argonaut a warrant to purchase shares of its Common Stock (the "</w:t>
      </w:r>
      <w:r w:rsidRPr="00C8720F">
        <w:rPr>
          <w:rFonts w:ascii="Georgia" w:eastAsia="Times New Roman" w:hAnsi="Georgia" w:cs="Arial"/>
          <w:color w:val="333333"/>
          <w:sz w:val="15"/>
          <w:szCs w:val="15"/>
          <w:u w:val="single"/>
        </w:rPr>
        <w:t>Lender Common Warrant</w:t>
      </w:r>
      <w:r w:rsidRPr="00C8720F">
        <w:rPr>
          <w:rFonts w:ascii="Georgia" w:eastAsia="Times New Roman" w:hAnsi="Georgia" w:cs="Arial"/>
          <w:color w:val="333333"/>
          <w:sz w:val="15"/>
          <w:szCs w:val="15"/>
        </w:rPr>
        <w:t>"), and (iii) the Company has issued to Argonaut a warrant to purchase shares of Series F Stock (the "</w:t>
      </w:r>
      <w:r w:rsidRPr="00C8720F">
        <w:rPr>
          <w:rFonts w:ascii="Georgia" w:eastAsia="Times New Roman" w:hAnsi="Georgia" w:cs="Arial"/>
          <w:color w:val="333333"/>
          <w:sz w:val="15"/>
          <w:szCs w:val="15"/>
          <w:u w:val="single"/>
        </w:rPr>
        <w:t>Lender Series F Warrant</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2</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26"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the Series A Agreement, the Series B Agreement, the Series C-1 Agreement, the Series C-2 Agreement, the Series D Agreement, the Series E Agreement, and the Series F Agreement each provide that the Investors who are parties thereto shall be granted certain information and registration rights and rights of first refusal and shall be granted certain rights pursuant to covenants to be made by the Company, all as more fully set forth herein;</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WHEREAS, under the terms of the Sixth Amended Rights Agreement, each Prior Investor, each Holder (as defined therein) and each permitted successor or assignee thereof shall be bound by and subject to the terms of any amendment thereto approved by the written consent of the Company and the holders of a majority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(as that term is defined in the Sixth Amended Rights Agreement);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WHEREAS, the Prior Investors executing this Agreement hold at least a majority of the outstanding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(as defined in the Sixth Amended Rights Agreement); and</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WHEREAS, in connection with the Series F Agreement and the Loan and Security Agreement, the Company, certain of the Prior Investors and the Series F Investors desire to enter into this Agreement, which amends and restates, in its entirety, the Sixth Amended Rights Agreement, for the purpose of consolidating the information and registration rights, rights of first refusal and certain rights pursuant to covenants made by the Company to the Series A Investors, the Series B Investors, Series C-1 Investors, the Series C-2 Investors, the Series D Investors, and the Series E Investors into the same agreement that contains such rights of the Series F Investors with respect to the shares of Series F Stock issued pursuant to the Series F Agreement, if any, and the shares of Common Stock issuable upon exercise of the warrants issued pursuant to the Series F Agreement, if any, and Argonaut with respect to the shares issued pursuant to the Lender Common Warrant and the Lender Series F Warrant, if exercised, and the Series F Investors and Argonaut likewise desire to enter into this Agreement setting forth such rights of the Series F Investors and Argonaut.</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NOW, THEREFORE, in consideration of the mutual promises and covenants set forth herein, and for other good and valuable consideration, the parties hereto agree as follows</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1. </w:t>
      </w:r>
      <w:r w:rsidRPr="00C8720F">
        <w:rPr>
          <w:rFonts w:ascii="Georgia" w:eastAsia="Times New Roman" w:hAnsi="Georgia" w:cs="Arial"/>
          <w:color w:val="333333"/>
          <w:sz w:val="15"/>
          <w:szCs w:val="15"/>
          <w:u w:val="single"/>
        </w:rPr>
        <w:t>Registration Rights</w:t>
      </w:r>
      <w:r w:rsidRPr="00C8720F">
        <w:rPr>
          <w:rFonts w:ascii="Georgia" w:eastAsia="Times New Roman" w:hAnsi="Georgia" w:cs="Arial"/>
          <w:color w:val="333333"/>
          <w:sz w:val="15"/>
          <w:szCs w:val="15"/>
        </w:rPr>
        <w:t>. The Company covenants and agrees as follows:</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1.1 </w:t>
      </w:r>
      <w:r w:rsidRPr="00C8720F">
        <w:rPr>
          <w:rFonts w:ascii="Georgia" w:eastAsia="Times New Roman" w:hAnsi="Georgia" w:cs="Arial"/>
          <w:color w:val="333333"/>
          <w:sz w:val="15"/>
          <w:szCs w:val="15"/>
          <w:u w:val="single"/>
        </w:rPr>
        <w:t>Definitions</w:t>
      </w:r>
      <w:r w:rsidRPr="00C8720F">
        <w:rPr>
          <w:rFonts w:ascii="Georgia" w:eastAsia="Times New Roman" w:hAnsi="Georgia" w:cs="Arial"/>
          <w:color w:val="333333"/>
          <w:sz w:val="15"/>
          <w:szCs w:val="15"/>
        </w:rPr>
        <w:t>. For purposes of this Agreement:</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(a) The term "</w:t>
      </w:r>
      <w:r w:rsidRPr="00C8720F">
        <w:rPr>
          <w:rFonts w:ascii="Georgia" w:eastAsia="Times New Roman" w:hAnsi="Georgia" w:cs="Arial"/>
          <w:color w:val="333333"/>
          <w:sz w:val="15"/>
          <w:szCs w:val="15"/>
          <w:u w:val="single"/>
        </w:rPr>
        <w:t>Act</w:t>
      </w:r>
      <w:r w:rsidRPr="00C8720F">
        <w:rPr>
          <w:rFonts w:ascii="Georgia" w:eastAsia="Times New Roman" w:hAnsi="Georgia" w:cs="Arial"/>
          <w:color w:val="333333"/>
          <w:sz w:val="15"/>
          <w:szCs w:val="15"/>
        </w:rPr>
        <w:t>" means the Securities Act of 1933, as amended.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(b) The term "</w:t>
      </w:r>
      <w:r w:rsidRPr="00C8720F">
        <w:rPr>
          <w:rFonts w:ascii="Georgia" w:eastAsia="Times New Roman" w:hAnsi="Georgia" w:cs="Arial"/>
          <w:color w:val="333333"/>
          <w:sz w:val="15"/>
          <w:szCs w:val="15"/>
          <w:u w:val="single"/>
        </w:rPr>
        <w:t>Allocation Agreement</w:t>
      </w:r>
      <w:r w:rsidRPr="00C8720F">
        <w:rPr>
          <w:rFonts w:ascii="Georgia" w:eastAsia="Times New Roman" w:hAnsi="Georgia" w:cs="Arial"/>
          <w:color w:val="333333"/>
          <w:sz w:val="15"/>
          <w:szCs w:val="15"/>
        </w:rPr>
        <w:t>" means that certain Allocation Agreement dated the same date as this Agreement between the Company and Argonaut.</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(c) The term "</w:t>
      </w:r>
      <w:r w:rsidRPr="00C8720F">
        <w:rPr>
          <w:rFonts w:ascii="Georgia" w:eastAsia="Times New Roman" w:hAnsi="Georgia" w:cs="Arial"/>
          <w:color w:val="333333"/>
          <w:sz w:val="15"/>
          <w:szCs w:val="15"/>
          <w:u w:val="single"/>
        </w:rPr>
        <w:t>Form S-3</w:t>
      </w:r>
      <w:r w:rsidRPr="00C8720F">
        <w:rPr>
          <w:rFonts w:ascii="Georgia" w:eastAsia="Times New Roman" w:hAnsi="Georgia" w:cs="Arial"/>
          <w:color w:val="333333"/>
          <w:sz w:val="15"/>
          <w:szCs w:val="15"/>
        </w:rPr>
        <w:t>" means such form under the Act as in effect on the date hereof or any registration form under the Act subsequently adopted by the SEC that permits inclusion or incorporation of substantial information by reference to other documents filed by the Company with the SEC.</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3</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27"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(d) The term "</w:t>
      </w:r>
      <w:r w:rsidRPr="00C8720F">
        <w:rPr>
          <w:rFonts w:ascii="Georgia" w:eastAsia="Times New Roman" w:hAnsi="Georgia" w:cs="Arial"/>
          <w:color w:val="333333"/>
          <w:sz w:val="15"/>
          <w:szCs w:val="15"/>
          <w:u w:val="single"/>
        </w:rPr>
        <w:t>Holder</w:t>
      </w:r>
      <w:r w:rsidRPr="00C8720F">
        <w:rPr>
          <w:rFonts w:ascii="Georgia" w:eastAsia="Times New Roman" w:hAnsi="Georgia" w:cs="Arial"/>
          <w:color w:val="333333"/>
          <w:sz w:val="15"/>
          <w:szCs w:val="15"/>
        </w:rPr>
        <w:t xml:space="preserve">" means any person owning or having the right to acquire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or any assignee thereof in accordance with Section 1.11 </w:t>
      </w:r>
      <w:r w:rsidRPr="00C8720F">
        <w:rPr>
          <w:rFonts w:ascii="Georgia" w:eastAsia="Times New Roman" w:hAnsi="Georgia" w:cs="Arial"/>
          <w:color w:val="333333"/>
          <w:sz w:val="15"/>
          <w:szCs w:val="15"/>
        </w:rPr>
        <w:lastRenderedPageBreak/>
        <w:t>hereof;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the Common Holders shall not be deemed to be Holders for purposes of Sections 1.2, 1.4, 1.12, 2.1, 2.2, 2.4 and 3.7.</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(e) The term "</w:t>
      </w:r>
      <w:r w:rsidRPr="00C8720F">
        <w:rPr>
          <w:rFonts w:ascii="Georgia" w:eastAsia="Times New Roman" w:hAnsi="Georgia" w:cs="Arial"/>
          <w:color w:val="333333"/>
          <w:sz w:val="15"/>
          <w:szCs w:val="15"/>
          <w:u w:val="single"/>
        </w:rPr>
        <w:t>Initial Offering</w:t>
      </w:r>
      <w:r w:rsidRPr="00C8720F">
        <w:rPr>
          <w:rFonts w:ascii="Georgia" w:eastAsia="Times New Roman" w:hAnsi="Georgia" w:cs="Arial"/>
          <w:color w:val="333333"/>
          <w:sz w:val="15"/>
          <w:szCs w:val="15"/>
        </w:rPr>
        <w:t>" means the Company's first firm commitment underwritten public offering of its Common Stock under the Act.</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(f) The term "</w:t>
      </w:r>
      <w:r w:rsidRPr="00C8720F">
        <w:rPr>
          <w:rFonts w:ascii="Georgia" w:eastAsia="Times New Roman" w:hAnsi="Georgia" w:cs="Arial"/>
          <w:color w:val="333333"/>
          <w:sz w:val="15"/>
          <w:szCs w:val="15"/>
          <w:u w:val="single"/>
        </w:rPr>
        <w:t>1934 Act</w:t>
      </w:r>
      <w:r w:rsidRPr="00C8720F">
        <w:rPr>
          <w:rFonts w:ascii="Georgia" w:eastAsia="Times New Roman" w:hAnsi="Georgia" w:cs="Arial"/>
          <w:color w:val="333333"/>
          <w:sz w:val="15"/>
          <w:szCs w:val="15"/>
        </w:rPr>
        <w:t>" means the Securities Exchange Act of 1934, as amended.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(g) The term "</w:t>
      </w:r>
      <w:r w:rsidRPr="00C8720F">
        <w:rPr>
          <w:rFonts w:ascii="Georgia" w:eastAsia="Times New Roman" w:hAnsi="Georgia" w:cs="Arial"/>
          <w:color w:val="333333"/>
          <w:sz w:val="15"/>
          <w:szCs w:val="15"/>
          <w:u w:val="single"/>
        </w:rPr>
        <w:t>Preferred Stock</w:t>
      </w:r>
      <w:r w:rsidRPr="00C8720F">
        <w:rPr>
          <w:rFonts w:ascii="Georgia" w:eastAsia="Times New Roman" w:hAnsi="Georgia" w:cs="Arial"/>
          <w:color w:val="333333"/>
          <w:sz w:val="15"/>
          <w:szCs w:val="15"/>
        </w:rPr>
        <w:t xml:space="preserve">" shall mean the Series </w:t>
      </w:r>
      <w:proofErr w:type="gramStart"/>
      <w:r w:rsidRPr="00C8720F">
        <w:rPr>
          <w:rFonts w:ascii="Georgia" w:eastAsia="Times New Roman" w:hAnsi="Georgia" w:cs="Arial"/>
          <w:color w:val="333333"/>
          <w:sz w:val="15"/>
          <w:szCs w:val="15"/>
        </w:rPr>
        <w:t>A</w:t>
      </w:r>
      <w:proofErr w:type="gramEnd"/>
      <w:r w:rsidRPr="00C8720F">
        <w:rPr>
          <w:rFonts w:ascii="Georgia" w:eastAsia="Times New Roman" w:hAnsi="Georgia" w:cs="Arial"/>
          <w:color w:val="333333"/>
          <w:sz w:val="15"/>
          <w:szCs w:val="15"/>
        </w:rPr>
        <w:t xml:space="preserve"> Stock, the Series B Stock, the Series C-1 Stock, the Series C-2 Stock, the Series D Stock, the Series E Stock and the Series F Stock.</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(h) The term "</w:t>
      </w:r>
      <w:r w:rsidRPr="00C8720F">
        <w:rPr>
          <w:rFonts w:ascii="Georgia" w:eastAsia="Times New Roman" w:hAnsi="Georgia" w:cs="Arial"/>
          <w:color w:val="333333"/>
          <w:sz w:val="15"/>
          <w:szCs w:val="15"/>
          <w:u w:val="single"/>
        </w:rPr>
        <w:t>Qualified IPO</w:t>
      </w:r>
      <w:r w:rsidRPr="00C8720F">
        <w:rPr>
          <w:rFonts w:ascii="Georgia" w:eastAsia="Times New Roman" w:hAnsi="Georgia" w:cs="Arial"/>
          <w:color w:val="333333"/>
          <w:sz w:val="15"/>
          <w:szCs w:val="15"/>
        </w:rPr>
        <w:t>" has the meaning given to such term in the Company's Eighth Amended and Restated Certificate of Incorporation (as may be amended from time to time).</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The terms "</w:t>
      </w:r>
      <w:r w:rsidRPr="00C8720F">
        <w:rPr>
          <w:rFonts w:ascii="Georgia" w:eastAsia="Times New Roman" w:hAnsi="Georgia" w:cs="Arial"/>
          <w:color w:val="333333"/>
          <w:sz w:val="15"/>
          <w:szCs w:val="15"/>
          <w:u w:val="single"/>
        </w:rPr>
        <w:t>register</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registered</w:t>
      </w:r>
      <w:r w:rsidRPr="00C8720F">
        <w:rPr>
          <w:rFonts w:ascii="Georgia" w:eastAsia="Times New Roman" w:hAnsi="Georgia" w:cs="Arial"/>
          <w:color w:val="333333"/>
          <w:sz w:val="15"/>
          <w:szCs w:val="15"/>
        </w:rPr>
        <w:t>," and "</w:t>
      </w:r>
      <w:r w:rsidRPr="00C8720F">
        <w:rPr>
          <w:rFonts w:ascii="Georgia" w:eastAsia="Times New Roman" w:hAnsi="Georgia" w:cs="Arial"/>
          <w:color w:val="333333"/>
          <w:sz w:val="15"/>
          <w:szCs w:val="15"/>
          <w:u w:val="single"/>
        </w:rPr>
        <w:t>registration</w:t>
      </w:r>
      <w:r w:rsidRPr="00C8720F">
        <w:rPr>
          <w:rFonts w:ascii="Georgia" w:eastAsia="Times New Roman" w:hAnsi="Georgia" w:cs="Arial"/>
          <w:color w:val="333333"/>
          <w:sz w:val="15"/>
          <w:szCs w:val="15"/>
        </w:rPr>
        <w:t xml:space="preserve">" refer to a registration </w:t>
      </w:r>
      <w:proofErr w:type="gramStart"/>
      <w:r w:rsidRPr="00C8720F">
        <w:rPr>
          <w:rFonts w:ascii="Georgia" w:eastAsia="Times New Roman" w:hAnsi="Georgia" w:cs="Arial"/>
          <w:color w:val="333333"/>
          <w:sz w:val="15"/>
          <w:szCs w:val="15"/>
        </w:rPr>
        <w:t>effected</w:t>
      </w:r>
      <w:proofErr w:type="gramEnd"/>
      <w:r w:rsidRPr="00C8720F">
        <w:rPr>
          <w:rFonts w:ascii="Georgia" w:eastAsia="Times New Roman" w:hAnsi="Georgia" w:cs="Arial"/>
          <w:color w:val="333333"/>
          <w:sz w:val="15"/>
          <w:szCs w:val="15"/>
        </w:rPr>
        <w:t xml:space="preserve"> by preparing and filing a registration statement or similar document in compliance with the Act, and the declaration or ordering of effectiveness of such registration statement or document.</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(j) The term "</w:t>
      </w:r>
      <w:proofErr w:type="spellStart"/>
      <w:r w:rsidRPr="00C8720F">
        <w:rPr>
          <w:rFonts w:ascii="Georgia" w:eastAsia="Times New Roman" w:hAnsi="Georgia" w:cs="Arial"/>
          <w:color w:val="333333"/>
          <w:sz w:val="15"/>
          <w:szCs w:val="15"/>
          <w:u w:val="single"/>
        </w:rPr>
        <w:t>Registrable</w:t>
      </w:r>
      <w:proofErr w:type="spellEnd"/>
      <w:r w:rsidRPr="00C8720F">
        <w:rPr>
          <w:rFonts w:ascii="Georgia" w:eastAsia="Times New Roman" w:hAnsi="Georgia" w:cs="Arial"/>
          <w:color w:val="333333"/>
          <w:sz w:val="15"/>
          <w:szCs w:val="15"/>
          <w:u w:val="single"/>
        </w:rPr>
        <w:t xml:space="preserve"> Securities</w:t>
      </w:r>
      <w:r w:rsidRPr="00C8720F">
        <w:rPr>
          <w:rFonts w:ascii="Georgia" w:eastAsia="Times New Roman" w:hAnsi="Georgia" w:cs="Arial"/>
          <w:color w:val="333333"/>
          <w:sz w:val="15"/>
          <w:szCs w:val="15"/>
        </w:rPr>
        <w:t>" means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the Common Stock issuable or issued upon conversion of shares of Preferred Stock outstanding (or the Common Stock issuable or issued upon conversion of any Preferred Stock issuable or issued upon conversion or exercise of any securities of the Company), (ii) the Common Stock held (or the Common Stock issuable or issued upon conversion, exercise or exchange of any securities of the Company held) by any Investor, (iii) shares of Common Stock beneficially owned by the Common Holders;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xml:space="preserve">, that such shares of Common Stock beneficially owned by the Common Holders shall not be deemed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for the purposes of Sections 1.2, 1.4, 1.12, 2.1, 2.2, 2.4 and 3.7, and (iv) any other shares of Common Stock issued as a dividend or other distribution with respect to, or in exchange for or replacement of, any of the shares of Common Stock referred to in clause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xml:space="preserve">), clause (ii) or clause (iii), excluding in all cases, however,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sold by a person in a transaction in which his rights under this Section 1 are not assigned.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(k) The number of shares of "</w:t>
      </w:r>
      <w:proofErr w:type="spellStart"/>
      <w:r w:rsidRPr="00C8720F">
        <w:rPr>
          <w:rFonts w:ascii="Georgia" w:eastAsia="Times New Roman" w:hAnsi="Georgia" w:cs="Arial"/>
          <w:color w:val="333333"/>
          <w:sz w:val="15"/>
          <w:szCs w:val="15"/>
          <w:u w:val="single"/>
        </w:rPr>
        <w:t>Registrable</w:t>
      </w:r>
      <w:proofErr w:type="spellEnd"/>
      <w:r w:rsidRPr="00C8720F">
        <w:rPr>
          <w:rFonts w:ascii="Georgia" w:eastAsia="Times New Roman" w:hAnsi="Georgia" w:cs="Arial"/>
          <w:color w:val="333333"/>
          <w:sz w:val="15"/>
          <w:szCs w:val="15"/>
          <w:u w:val="single"/>
        </w:rPr>
        <w:t xml:space="preserve"> Securities</w:t>
      </w:r>
      <w:r w:rsidRPr="00C8720F">
        <w:rPr>
          <w:rFonts w:ascii="Georgia" w:eastAsia="Times New Roman" w:hAnsi="Georgia" w:cs="Arial"/>
          <w:color w:val="333333"/>
          <w:sz w:val="15"/>
          <w:szCs w:val="15"/>
        </w:rPr>
        <w:t xml:space="preserve">" outstanding shall be determined by the number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that are either shares of Common Stock that are outstanding or shares of Common Stock that are issuable upon the exercise, conversion or exchange of securities that are outstanding and immediately exercisable, convertible or exchangeable; provided, however, that no shares of Warrant Stock and no shares of Common Stock issuable upon conversion of shares of Series F Stock shall be included in the number of shares of "</w:t>
      </w:r>
      <w:proofErr w:type="spellStart"/>
      <w:r w:rsidRPr="00C8720F">
        <w:rPr>
          <w:rFonts w:ascii="Georgia" w:eastAsia="Times New Roman" w:hAnsi="Georgia" w:cs="Arial"/>
          <w:color w:val="333333"/>
          <w:sz w:val="15"/>
          <w:szCs w:val="15"/>
          <w:u w:val="single"/>
        </w:rPr>
        <w:t>Registrable</w:t>
      </w:r>
      <w:proofErr w:type="spellEnd"/>
      <w:r w:rsidRPr="00C8720F">
        <w:rPr>
          <w:rFonts w:ascii="Georgia" w:eastAsia="Times New Roman" w:hAnsi="Georgia" w:cs="Arial"/>
          <w:color w:val="333333"/>
          <w:sz w:val="15"/>
          <w:szCs w:val="15"/>
          <w:u w:val="single"/>
        </w:rPr>
        <w:t xml:space="preserve"> Securities</w:t>
      </w:r>
      <w:r w:rsidRPr="00C8720F">
        <w:rPr>
          <w:rFonts w:ascii="Georgia" w:eastAsia="Times New Roman" w:hAnsi="Georgia" w:cs="Arial"/>
          <w:color w:val="333333"/>
          <w:sz w:val="15"/>
          <w:szCs w:val="15"/>
        </w:rPr>
        <w:t>" outstanding until such shares of Warrant Stock or Series F Stock, as the case may be, shall have actually been issued upon the exercise of a Warrant or issued pursuant to the Series F Agreement.</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4</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28"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(l) The term "</w:t>
      </w:r>
      <w:r w:rsidRPr="00C8720F">
        <w:rPr>
          <w:rFonts w:ascii="Georgia" w:eastAsia="Times New Roman" w:hAnsi="Georgia" w:cs="Arial"/>
          <w:color w:val="333333"/>
          <w:sz w:val="15"/>
          <w:szCs w:val="15"/>
          <w:u w:val="single"/>
        </w:rPr>
        <w:t>Rule 144</w:t>
      </w:r>
      <w:r w:rsidRPr="00C8720F">
        <w:rPr>
          <w:rFonts w:ascii="Georgia" w:eastAsia="Times New Roman" w:hAnsi="Georgia" w:cs="Arial"/>
          <w:color w:val="333333"/>
          <w:sz w:val="15"/>
          <w:szCs w:val="15"/>
        </w:rPr>
        <w:t>" means Rule 144 under the Act.</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(m) The term "</w:t>
      </w:r>
      <w:r w:rsidRPr="00C8720F">
        <w:rPr>
          <w:rFonts w:ascii="Georgia" w:eastAsia="Times New Roman" w:hAnsi="Georgia" w:cs="Arial"/>
          <w:color w:val="333333"/>
          <w:sz w:val="15"/>
          <w:szCs w:val="15"/>
          <w:u w:val="single"/>
        </w:rPr>
        <w:t>SEC</w:t>
      </w:r>
      <w:r w:rsidRPr="00C8720F">
        <w:rPr>
          <w:rFonts w:ascii="Georgia" w:eastAsia="Times New Roman" w:hAnsi="Georgia" w:cs="Arial"/>
          <w:color w:val="333333"/>
          <w:sz w:val="15"/>
          <w:szCs w:val="15"/>
        </w:rPr>
        <w:t>" means the Securities and Exchange Commission.</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(n) The term "</w:t>
      </w:r>
      <w:r w:rsidRPr="00C8720F">
        <w:rPr>
          <w:rFonts w:ascii="Georgia" w:eastAsia="Times New Roman" w:hAnsi="Georgia" w:cs="Arial"/>
          <w:color w:val="333333"/>
          <w:sz w:val="15"/>
          <w:szCs w:val="15"/>
          <w:u w:val="single"/>
        </w:rPr>
        <w:t>Warrants</w:t>
      </w:r>
      <w:r w:rsidRPr="00C8720F">
        <w:rPr>
          <w:rFonts w:ascii="Georgia" w:eastAsia="Times New Roman" w:hAnsi="Georgia" w:cs="Arial"/>
          <w:color w:val="333333"/>
          <w:sz w:val="15"/>
          <w:szCs w:val="15"/>
        </w:rPr>
        <w:t>" shall mean (1) those certain Common Stock Purchase Warrants issued to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the Series D Investors pursuant to Section 1.2 of the Series D Agreement, as such warrants were amended pursuant to the terms of that certain Amendment to Warrants dated November 24, 2008 by and among the Company and the holders of such warrants, (ii) the Bridge Investors pursuant to the Bridge Agreement, (iii) the Series E Investors pursuant to the Series E Agreement and the Stock Exchange Agreement, as such warrants were amended pursuant to the terms of that certain Amendment to Warrants dated July 17, 2009 by and among the Company and the holders of such warrants, (iv) the Series F Investors pursuant to the Series F Agreement and (v) the Lender Common Warrant, and (2) the Lender Series F Warrant.</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(o) The term "</w:t>
      </w:r>
      <w:r w:rsidRPr="00C8720F">
        <w:rPr>
          <w:rFonts w:ascii="Georgia" w:eastAsia="Times New Roman" w:hAnsi="Georgia" w:cs="Arial"/>
          <w:color w:val="333333"/>
          <w:sz w:val="15"/>
          <w:szCs w:val="15"/>
          <w:u w:val="single"/>
        </w:rPr>
        <w:t>Warrant Stock</w:t>
      </w:r>
      <w:r w:rsidRPr="00C8720F">
        <w:rPr>
          <w:rFonts w:ascii="Georgia" w:eastAsia="Times New Roman" w:hAnsi="Georgia" w:cs="Arial"/>
          <w:color w:val="333333"/>
          <w:sz w:val="15"/>
          <w:szCs w:val="15"/>
        </w:rPr>
        <w:t>" shall mean shares of Common Stock or Preferred Stock issued, if any, upon exercise of the Warrants and any shares of Common Stock issuable or issued upon conversion of any Preferred Stock issued upon exercise of the Warrants.</w:t>
      </w:r>
    </w:p>
    <w:p w:rsidR="00096BC1" w:rsidRPr="00C8720F" w:rsidRDefault="00096BC1" w:rsidP="00C8720F">
      <w:pPr>
        <w:shd w:val="clear" w:color="auto" w:fill="FFFFFF"/>
        <w:spacing w:before="27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1.2 </w:t>
      </w:r>
      <w:proofErr w:type="gramStart"/>
      <w:r w:rsidRPr="00C8720F">
        <w:rPr>
          <w:rFonts w:ascii="Georgia" w:eastAsia="Times New Roman" w:hAnsi="Georgia" w:cs="Arial"/>
          <w:color w:val="333333"/>
          <w:sz w:val="15"/>
          <w:szCs w:val="15"/>
          <w:u w:val="single"/>
        </w:rPr>
        <w:t>Request</w:t>
      </w:r>
      <w:proofErr w:type="gramEnd"/>
      <w:r w:rsidRPr="00C8720F">
        <w:rPr>
          <w:rFonts w:ascii="Georgia" w:eastAsia="Times New Roman" w:hAnsi="Georgia" w:cs="Arial"/>
          <w:color w:val="333333"/>
          <w:sz w:val="15"/>
          <w:szCs w:val="15"/>
          <w:u w:val="single"/>
        </w:rPr>
        <w:t xml:space="preserve"> for Registration</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9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(a) Subject to the conditions of this Section 1.2, if the Company shall receive at any time after the earlier of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xml:space="preserve">) July 9, 2010 and (ii) the effective date of the Initial Offering, a written request from the Holders of a majority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then outstanding (for purposes of this Section 1.2, the "</w:t>
      </w:r>
      <w:r w:rsidRPr="00C8720F">
        <w:rPr>
          <w:rFonts w:ascii="Georgia" w:eastAsia="Times New Roman" w:hAnsi="Georgia" w:cs="Arial"/>
          <w:color w:val="333333"/>
          <w:sz w:val="15"/>
          <w:szCs w:val="15"/>
          <w:u w:val="single"/>
        </w:rPr>
        <w:t>Initiating Holders</w:t>
      </w:r>
      <w:r w:rsidRPr="00C8720F">
        <w:rPr>
          <w:rFonts w:ascii="Georgia" w:eastAsia="Times New Roman" w:hAnsi="Georgia" w:cs="Arial"/>
          <w:color w:val="333333"/>
          <w:sz w:val="15"/>
          <w:szCs w:val="15"/>
        </w:rPr>
        <w:t xml:space="preserve">") that the Company file a registration statement under the Act covering the registration of at least 25%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then outstanding, then the Company shall, within 20 days of the receipt thereof, give written notice of such request to all Holders, and subject to the limitations of this Section 1.2, use its reasonable best efforts to effect, as soon as practicable, the registration under the Act of all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that the Holders request to be registered in a written request received by the Company within 20 days of the mailing of the Company's notice pursuant to this Section 1.2(a).</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 xml:space="preserve">(b) If the Initiating Holders intend to distribute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covered by their request by means of an underwriting, they shall so advise the Company as a part of their request made pursuant to this Section 1.2 and the Company shall include such information in the written notice referred to in Section 1.2(a). In such event the right of any Holder to include its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in such registration shall be conditioned upon such Holder's participation in such underwriting and the inclusion of such Holder's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in the underwriting to the extent provided herein. All Holders proposing to distribute their securities through such underwriting shall enter into an underwriting agreement in customary form with the underwriter or underwriters selected for such underwriting by the Company (which underwriter or underwriters shall be reasonably acceptable to a majority in interest of the Initiating Holders). Notwithstanding any other provision of this Section 1.2, if the underwriter advises the Company that marketing factors require a limitation on the number of securities underwritten (including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then the Company shall so advise all Holders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that would otherwise be underwritten pursuant hereto, and the</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5</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29" style="width:468pt;height:2.25pt" o:hralign="center" o:hrstd="t" o:hrnoshade="t" o:hr="t" fillcolor="#999" stroked="f"/>
        </w:pic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number</w:t>
      </w:r>
      <w:proofErr w:type="gramEnd"/>
      <w:r w:rsidRPr="00C8720F">
        <w:rPr>
          <w:rFonts w:ascii="Georgia" w:eastAsia="Times New Roman" w:hAnsi="Georgia" w:cs="Arial"/>
          <w:color w:val="333333"/>
          <w:sz w:val="15"/>
          <w:szCs w:val="15"/>
        </w:rPr>
        <w:t xml:space="preserve"> of shares that may be included in the underwriting shall be allocated to the Holders of such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pro rata based on the number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held by all such Holders (including the Initiating Holders). In no event shall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be excluded from such underwriting unless all other securities are first excluded.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excluded or withdrawn from such underwriting shall be withdrawn from the registration.</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 Notwithstanding the foregoing, the Company shall not be required to </w:t>
      </w:r>
      <w:proofErr w:type="gramStart"/>
      <w:r w:rsidRPr="00C8720F">
        <w:rPr>
          <w:rFonts w:ascii="Georgia" w:eastAsia="Times New Roman" w:hAnsi="Georgia" w:cs="Arial"/>
          <w:color w:val="333333"/>
          <w:sz w:val="15"/>
          <w:szCs w:val="15"/>
        </w:rPr>
        <w:t>effect</w:t>
      </w:r>
      <w:proofErr w:type="gramEnd"/>
      <w:r w:rsidRPr="00C8720F">
        <w:rPr>
          <w:rFonts w:ascii="Georgia" w:eastAsia="Times New Roman" w:hAnsi="Georgia" w:cs="Arial"/>
          <w:color w:val="333333"/>
          <w:sz w:val="15"/>
          <w:szCs w:val="15"/>
        </w:rPr>
        <w:t xml:space="preserve"> a registration pursuant to this Section 1.2:</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in any particular jurisdiction in which the Company would be required to execute a general consent to service of process in effecting such registration, unless the Company is already subject to service in such jurisdiction and except as may be required under the Act; or</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(ii) after the Company has effected two registrations pursuant to this Section 1.2, and such registrations have been declared or ordered effective; or</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(iii) during the period starting with the date that is 60 days prior to the Company's good faith estimate of the date of the filing, and ending on a date 180 days following the effective date, of a Company-initiated registration subject to Section 1.3 below or a request for registration under the Allocation Agreement,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that the Company is actively employing in good faith its reasonable best efforts to cause such registration statement to become effective;</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(iv) if the Initiating Holders propose to dispose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that may be registered on Form S-3 pursuant to Section 1.4 hereof; or</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(v) if the Company shall furnish to the Initiating Holders requesting a registration statement pursuant to this Section 1.2 a certificate signed by the Company's Chief Executive Officer or Chairman of the Board stating that in the good faith judgment of the Board of Directors of the Company (the "</w:t>
      </w:r>
      <w:r w:rsidRPr="00C8720F">
        <w:rPr>
          <w:rFonts w:ascii="Georgia" w:eastAsia="Times New Roman" w:hAnsi="Georgia" w:cs="Arial"/>
          <w:color w:val="333333"/>
          <w:sz w:val="15"/>
          <w:szCs w:val="15"/>
          <w:u w:val="single"/>
        </w:rPr>
        <w:t>Board</w:t>
      </w:r>
      <w:r w:rsidRPr="00C8720F">
        <w:rPr>
          <w:rFonts w:ascii="Georgia" w:eastAsia="Times New Roman" w:hAnsi="Georgia" w:cs="Arial"/>
          <w:color w:val="333333"/>
          <w:sz w:val="15"/>
          <w:szCs w:val="15"/>
        </w:rPr>
        <w:t>"), it would be seriously detrimental to the Company and its stockholders for such registration statement to be effected at such time, in which event the Company shall have the right to defer such filing for a period of not more than 120 days after receipt of the request of the Initiating Holders,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xml:space="preserve"> that such right shall be exercised by the Company not more than once in any 12 month period, </w:t>
      </w:r>
      <w:proofErr w:type="spellStart"/>
      <w:r w:rsidRPr="00C8720F">
        <w:rPr>
          <w:rFonts w:ascii="Georgia" w:eastAsia="Times New Roman" w:hAnsi="Georgia" w:cs="Arial"/>
          <w:color w:val="333333"/>
          <w:sz w:val="15"/>
          <w:szCs w:val="15"/>
        </w:rPr>
        <w:t>and</w:t>
      </w:r>
      <w:r w:rsidRPr="00C8720F">
        <w:rPr>
          <w:rFonts w:ascii="Georgia" w:eastAsia="Times New Roman" w:hAnsi="Georgia" w:cs="Arial"/>
          <w:color w:val="333333"/>
          <w:sz w:val="15"/>
          <w:szCs w:val="15"/>
          <w:u w:val="single"/>
        </w:rPr>
        <w:t>provided</w:t>
      </w:r>
      <w:proofErr w:type="spellEnd"/>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further</w:t>
      </w:r>
      <w:r w:rsidRPr="00C8720F">
        <w:rPr>
          <w:rFonts w:ascii="Georgia" w:eastAsia="Times New Roman" w:hAnsi="Georgia" w:cs="Arial"/>
          <w:color w:val="333333"/>
          <w:sz w:val="15"/>
          <w:szCs w:val="15"/>
        </w:rPr>
        <w:t xml:space="preserve">, that the Company shall not register any securities for the account of itself or any other stockholder during such 120 day period (other than a registration relating solely to the sale of securities of participants in a Company stock plan, a registration relating to a corporate reorganization or transaction under Rule 145 of the Act, a registration on any form that does not include substantially the same information as would be required to be included in a registration statement covering the sale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or a registration in which the only Common Stock being registered is Common Stock issuable upon conversion of debt securities that are also being registered).</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6</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0"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1.3 </w:t>
      </w:r>
      <w:r w:rsidRPr="00C8720F">
        <w:rPr>
          <w:rFonts w:ascii="Georgia" w:eastAsia="Times New Roman" w:hAnsi="Georgia" w:cs="Arial"/>
          <w:color w:val="333333"/>
          <w:sz w:val="15"/>
          <w:szCs w:val="15"/>
          <w:u w:val="single"/>
        </w:rPr>
        <w:t>Company Registration</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9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 If (but without any obligation to do so) the Company proposes to register (including for this purpose a registration effected by the Company for stockholders other than the Holders, but excluding a registration effected by the Company pursuant to the Allocation Agreement) any of its stock or other securities under the Act in connection with the public offering of such securities (other than a registration relating solely to the sale of securities of participants in a Company stock plan, a registration relating to a corporate reorganization or transaction under Rule 145 of the Act, a registration on any form that does not include substantially the same information as would be required to be included in a registration statement covering the sale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or a registration in which the only Common Stock being registered is Common Stock issuable upon conversion of debt securities that are also being registered), the Company shall, at such time, promptly give each Holder written notice of such registration. Upon the written request of each Holder given within 20 days after mailing of such notice by the Company in accordance with Section 3.5, the Company shall, subject to the provisions of Section 1.3(c), use its reasonable best efforts to cause to be </w:t>
      </w:r>
      <w:r w:rsidRPr="00C8720F">
        <w:rPr>
          <w:rFonts w:ascii="Georgia" w:eastAsia="Times New Roman" w:hAnsi="Georgia" w:cs="Arial"/>
          <w:color w:val="333333"/>
          <w:sz w:val="15"/>
          <w:szCs w:val="15"/>
        </w:rPr>
        <w:lastRenderedPageBreak/>
        <w:t xml:space="preserve">registered under the Act all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that each such Holder requests to be registered.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(b) </w:t>
      </w:r>
      <w:r w:rsidRPr="00C8720F">
        <w:rPr>
          <w:rFonts w:ascii="Georgia" w:eastAsia="Times New Roman" w:hAnsi="Georgia" w:cs="Arial"/>
          <w:color w:val="333333"/>
          <w:sz w:val="15"/>
          <w:szCs w:val="15"/>
          <w:u w:val="single"/>
        </w:rPr>
        <w:t>Right to Terminate Registration</w:t>
      </w:r>
      <w:r w:rsidRPr="00C8720F">
        <w:rPr>
          <w:rFonts w:ascii="Georgia" w:eastAsia="Times New Roman" w:hAnsi="Georgia" w:cs="Arial"/>
          <w:color w:val="333333"/>
          <w:sz w:val="15"/>
          <w:szCs w:val="15"/>
        </w:rPr>
        <w:t>. The Company shall have the right to terminate or withdraw any registration initiated by it under this Section 1.3 prior to the effectiveness of such registration whether or not any Holder has elected to include securities in such registration. The expenses of such withdrawn registration shall be borne by the Company in accordance with Section 1.7 hereof.</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(c) </w:t>
      </w:r>
      <w:r w:rsidRPr="00C8720F">
        <w:rPr>
          <w:rFonts w:ascii="Georgia" w:eastAsia="Times New Roman" w:hAnsi="Georgia" w:cs="Arial"/>
          <w:color w:val="333333"/>
          <w:sz w:val="15"/>
          <w:szCs w:val="15"/>
          <w:u w:val="single"/>
        </w:rPr>
        <w:t>Underwriting Requirements</w:t>
      </w:r>
      <w:r w:rsidRPr="00C8720F">
        <w:rPr>
          <w:rFonts w:ascii="Georgia" w:eastAsia="Times New Roman" w:hAnsi="Georgia" w:cs="Arial"/>
          <w:color w:val="333333"/>
          <w:sz w:val="15"/>
          <w:szCs w:val="15"/>
        </w:rPr>
        <w:t xml:space="preserve">. In connection with any offering involving an underwriting of shares of the Company's capital stock, the Company shall not be required under this Section 1.3 to include any of the Holders' securities in such underwriting unless they accept the terms of the underwriting as agreed upon between the Company and the underwriters selected by the Company (or by other persons entitled to select the underwriters) and enter into an underwriting agreement in customary form with such underwriters, and then only in such quantity as the underwriters determine in their sole discretion will not jeopardize the success of the offering by the Company. If the total amount of securities, including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requested by stockholders to be included in such offering exceeds the amount of securities sold other than by the Company that the underwriters determine in their sole discretion is compatible with the success of the offering, then the Company shall be required to include in the offering only that number of such securities, including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that the underwriters determine in their sole discretion will not jeopardize the success of the offering. In no event shall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be excluded from such offering unless all other stockholders' securities have been first excluded. In the event that the underwriters determine that less than all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requested to be registered can be included in such offering, then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that are included in such offering shall be allocated as follows: (A) first,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requested to be included therein by the Investors requesting such registration allocated pro rata among the Investors on the basis of the number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held by such Investors and (B) second, if any additional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may be included in such offering,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requested to be included therein by the Common Holders pro rata among the Common Holders thereof on the basis of the number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held by such Common Holders. Notwithstanding the foregoing, in no event shall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the amount of securities of the selling Holders included in the offering be reduced below 25% of the total amount of securities included in such offering, unless</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7</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1" style="width:468pt;height:2.25pt" o:hralign="center" o:hrstd="t" o:hrnoshade="t" o:hr="t" fillcolor="#999" stroked="f"/>
        </w:pic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such offering is the Initial Offering, in which case the selling Holders may be excluded if the underwriters make the determination described above and no other stockholder's securities are included in such offering, or (ii) any securities held by a Common Holder be included in such offering if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held by any Holder (other than a Common Holder) that such Holder has requested to be registered are excluded from such offering. For purposes of the preceding sentence concerning apportionment, for any selling stockholder that is a Holder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and that is a venture capital fund, investment fund, partnership or corporation, the affiliated venture capital funds, investment funds, partners, retired partners and stockholders of such Holder, or the estates and family members of any such partners and retired partners and any trusts for the benefit of any of the foregoing persons shall be deemed to be a single "selling Holder," and any pro rata reduction with respect to such "selling Holder" shall be based upon the aggregate amount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owned by all such related entities and individuals.</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1.4 </w:t>
      </w:r>
      <w:r w:rsidRPr="00C8720F">
        <w:rPr>
          <w:rFonts w:ascii="Georgia" w:eastAsia="Times New Roman" w:hAnsi="Georgia" w:cs="Arial"/>
          <w:color w:val="333333"/>
          <w:sz w:val="15"/>
          <w:szCs w:val="15"/>
          <w:u w:val="single"/>
        </w:rPr>
        <w:t>Form S-3 Registration</w:t>
      </w:r>
      <w:r w:rsidRPr="00C8720F">
        <w:rPr>
          <w:rFonts w:ascii="Georgia" w:eastAsia="Times New Roman" w:hAnsi="Georgia" w:cs="Arial"/>
          <w:color w:val="333333"/>
          <w:sz w:val="15"/>
          <w:szCs w:val="15"/>
        </w:rPr>
        <w:t xml:space="preserve">. In case the Company shall receive from the Holders of at least 10%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then outstanding (for purposes of this Section 1.4, the "</w:t>
      </w:r>
      <w:r w:rsidRPr="00C8720F">
        <w:rPr>
          <w:rFonts w:ascii="Georgia" w:eastAsia="Times New Roman" w:hAnsi="Georgia" w:cs="Arial"/>
          <w:color w:val="333333"/>
          <w:sz w:val="15"/>
          <w:szCs w:val="15"/>
          <w:u w:val="single"/>
        </w:rPr>
        <w:t>Initiating Holders</w:t>
      </w:r>
      <w:r w:rsidRPr="00C8720F">
        <w:rPr>
          <w:rFonts w:ascii="Georgia" w:eastAsia="Times New Roman" w:hAnsi="Georgia" w:cs="Arial"/>
          <w:color w:val="333333"/>
          <w:sz w:val="15"/>
          <w:szCs w:val="15"/>
        </w:rPr>
        <w:t xml:space="preserve">") a written request or requests that the Company effect a registration on Form S-3 and any related qualification or compliance with respect to all or a part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owned by such Holder or Holders, the Company shall:</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 </w:t>
      </w:r>
      <w:proofErr w:type="gramStart"/>
      <w:r w:rsidRPr="00C8720F">
        <w:rPr>
          <w:rFonts w:ascii="Georgia" w:eastAsia="Times New Roman" w:hAnsi="Georgia" w:cs="Arial"/>
          <w:color w:val="333333"/>
          <w:sz w:val="15"/>
          <w:szCs w:val="15"/>
        </w:rPr>
        <w:t>promptly</w:t>
      </w:r>
      <w:proofErr w:type="gramEnd"/>
      <w:r w:rsidRPr="00C8720F">
        <w:rPr>
          <w:rFonts w:ascii="Georgia" w:eastAsia="Times New Roman" w:hAnsi="Georgia" w:cs="Arial"/>
          <w:color w:val="333333"/>
          <w:sz w:val="15"/>
          <w:szCs w:val="15"/>
        </w:rPr>
        <w:t xml:space="preserve"> give written notice of the proposed registration, and any related qualification or compliance, to all other Holders; and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(b) use its reasonable best efforts to effect, as soon as practicable, such registration and all such qualifications and compliances as may be so requested and as would permit or facilitate the sale and distribution of all or such portion of such Holders'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as are specified in such request, together with all or such portion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of any other Holders joining in such request as are specified in a written request given within 15 days after receipt of such written notice from the Company;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the Company shall not be obligated to effect any such registration, qualification or compliance, pursuant to this Section 1.4:</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xml:space="preserve">) </w:t>
      </w:r>
      <w:proofErr w:type="gramStart"/>
      <w:r w:rsidRPr="00C8720F">
        <w:rPr>
          <w:rFonts w:ascii="Georgia" w:eastAsia="Times New Roman" w:hAnsi="Georgia" w:cs="Arial"/>
          <w:color w:val="333333"/>
          <w:sz w:val="15"/>
          <w:szCs w:val="15"/>
        </w:rPr>
        <w:t>if</w:t>
      </w:r>
      <w:proofErr w:type="gramEnd"/>
      <w:r w:rsidRPr="00C8720F">
        <w:rPr>
          <w:rFonts w:ascii="Georgia" w:eastAsia="Times New Roman" w:hAnsi="Georgia" w:cs="Arial"/>
          <w:color w:val="333333"/>
          <w:sz w:val="15"/>
          <w:szCs w:val="15"/>
        </w:rPr>
        <w:t xml:space="preserve"> Form S-3 is not available for such offering by the Holders;</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(ii) if the Holders, together with the holders of any other securities of the Company entitled to inclusion in such registration, propose to sell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and such other securities (if any) at an aggregate price to the public (net of any underwriters' discounts or commissions) of less than $3,000,000;</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(iii) if the Company shall furnish to Holders requesting a registration statement pursuant to this Section 1.4 a certificate signed by the Company's Chief Executive Officer or </w:t>
      </w:r>
      <w:r w:rsidRPr="00C8720F">
        <w:rPr>
          <w:rFonts w:ascii="Georgia" w:eastAsia="Times New Roman" w:hAnsi="Georgia" w:cs="Arial"/>
          <w:color w:val="333333"/>
          <w:sz w:val="15"/>
          <w:szCs w:val="15"/>
        </w:rPr>
        <w:lastRenderedPageBreak/>
        <w:t>Chairman of the Board stating that, in the good faith judgment of the Board, it would be seriously detrimental to the Company and its stockholders for such registration statement to be effected at such time, in which event the Company shall have the right to defer such filing for a period of not more than 120 days after receipt of the request of the Initiating Holders,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that such right shall be exercised by the Company not more than once in any</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8</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2" style="width:468pt;height:2.25pt" o:hralign="center" o:hrstd="t" o:hrnoshade="t" o:hr="t" fillcolor="#999" stroked="f"/>
        </w:pic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12-month period and provided further that the Company shall not register any securities for the account of itself or any other stockholder during such 120 day period (other than a registration relating solely to the sale of securities of participants in a Company stock plan, a registration relating to a corporate reorganization or transaction under Rule 145 of the Act, a registration on any form that does not include substantially the same information as would be required to be included in a registration statement covering the sale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or a registration in which the only Common Stock being registered is Common Stock issuable upon conversion of debt securities that are also being registered);</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(iv) if the Company has, within the 12 month period preceding the date of such request, already effected two registrations on Form S-3 for the Holders pursuant to this Section 1.4; or</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(v) </w:t>
      </w:r>
      <w:proofErr w:type="gramStart"/>
      <w:r w:rsidRPr="00C8720F">
        <w:rPr>
          <w:rFonts w:ascii="Georgia" w:eastAsia="Times New Roman" w:hAnsi="Georgia" w:cs="Arial"/>
          <w:color w:val="333333"/>
          <w:sz w:val="15"/>
          <w:szCs w:val="15"/>
        </w:rPr>
        <w:t>in</w:t>
      </w:r>
      <w:proofErr w:type="gramEnd"/>
      <w:r w:rsidRPr="00C8720F">
        <w:rPr>
          <w:rFonts w:ascii="Georgia" w:eastAsia="Times New Roman" w:hAnsi="Georgia" w:cs="Arial"/>
          <w:color w:val="333333"/>
          <w:sz w:val="15"/>
          <w:szCs w:val="15"/>
        </w:rPr>
        <w:t xml:space="preserve"> any particular jurisdiction in which the Company would be required to qualify to do business or to execute a general consent to service of process in effecting such registration, qualification or compliance.</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 If the Initiating Holders intend to distribute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covered by their request by means of an underwriting, they shall so advise the Company as a part of their request made pursuant to this Section 1.4 and the Company shall include such information in the written notice referred to in Section 1.4(a). The provisions of Section 1.2(b) shall be applicable to such request (with the substitution of Section 1.4 for references to Section 1.2).</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(d) Subject to the foregoing, the Company shall file a registration statement covering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and other securities so requested to be registered as soon as practicable after receipt of the request or requests of the Initiating Holders. Registrations </w:t>
      </w:r>
      <w:proofErr w:type="gramStart"/>
      <w:r w:rsidRPr="00C8720F">
        <w:rPr>
          <w:rFonts w:ascii="Georgia" w:eastAsia="Times New Roman" w:hAnsi="Georgia" w:cs="Arial"/>
          <w:color w:val="333333"/>
          <w:sz w:val="15"/>
          <w:szCs w:val="15"/>
        </w:rPr>
        <w:t>effected</w:t>
      </w:r>
      <w:proofErr w:type="gramEnd"/>
      <w:r w:rsidRPr="00C8720F">
        <w:rPr>
          <w:rFonts w:ascii="Georgia" w:eastAsia="Times New Roman" w:hAnsi="Georgia" w:cs="Arial"/>
          <w:color w:val="333333"/>
          <w:sz w:val="15"/>
          <w:szCs w:val="15"/>
        </w:rPr>
        <w:t xml:space="preserve"> pursuant to this Section 1.4 shall not be counted as requests for registration effected pursuant to Sections 1.2.</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1.5 </w:t>
      </w:r>
      <w:r w:rsidRPr="00C8720F">
        <w:rPr>
          <w:rFonts w:ascii="Georgia" w:eastAsia="Times New Roman" w:hAnsi="Georgia" w:cs="Arial"/>
          <w:color w:val="333333"/>
          <w:sz w:val="15"/>
          <w:szCs w:val="15"/>
          <w:u w:val="single"/>
        </w:rPr>
        <w:t>Obligations of the Company</w:t>
      </w:r>
      <w:r w:rsidRPr="00C8720F">
        <w:rPr>
          <w:rFonts w:ascii="Georgia" w:eastAsia="Times New Roman" w:hAnsi="Georgia" w:cs="Arial"/>
          <w:color w:val="333333"/>
          <w:sz w:val="15"/>
          <w:szCs w:val="15"/>
        </w:rPr>
        <w:t xml:space="preserve">. Whenever required under this Section 1 to </w:t>
      </w:r>
      <w:proofErr w:type="gramStart"/>
      <w:r w:rsidRPr="00C8720F">
        <w:rPr>
          <w:rFonts w:ascii="Georgia" w:eastAsia="Times New Roman" w:hAnsi="Georgia" w:cs="Arial"/>
          <w:color w:val="333333"/>
          <w:sz w:val="15"/>
          <w:szCs w:val="15"/>
        </w:rPr>
        <w:t>effect</w:t>
      </w:r>
      <w:proofErr w:type="gramEnd"/>
      <w:r w:rsidRPr="00C8720F">
        <w:rPr>
          <w:rFonts w:ascii="Georgia" w:eastAsia="Times New Roman" w:hAnsi="Georgia" w:cs="Arial"/>
          <w:color w:val="333333"/>
          <w:sz w:val="15"/>
          <w:szCs w:val="15"/>
        </w:rPr>
        <w:t xml:space="preserve"> the registration of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the Company shall, as expeditiously as reasonably possible:</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 prepare and file with the SEC a registration statement with respect to such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and use its reasonable best efforts to cause such registration statement to become effective, and, upon the request of the Holders of a majority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registered </w:t>
      </w:r>
      <w:proofErr w:type="spellStart"/>
      <w:r w:rsidRPr="00C8720F">
        <w:rPr>
          <w:rFonts w:ascii="Georgia" w:eastAsia="Times New Roman" w:hAnsi="Georgia" w:cs="Arial"/>
          <w:color w:val="333333"/>
          <w:sz w:val="15"/>
          <w:szCs w:val="15"/>
        </w:rPr>
        <w:t>thereunder</w:t>
      </w:r>
      <w:proofErr w:type="spellEnd"/>
      <w:r w:rsidRPr="00C8720F">
        <w:rPr>
          <w:rFonts w:ascii="Georgia" w:eastAsia="Times New Roman" w:hAnsi="Georgia" w:cs="Arial"/>
          <w:color w:val="333333"/>
          <w:sz w:val="15"/>
          <w:szCs w:val="15"/>
        </w:rPr>
        <w:t>, keep such registration statement effective for a period of up to 120 days or, if earlier, until the distribution contemplated in the Registration Statement has been completed;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(b) prepare and file with the SEC such amendments and supplements to such registration statement and the prospectus used in connection with such registration statement as may be necessary to comply with the provisions of the Act with respect to the disposition of all securities covered by such registration statement;</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 furnish to the Holders such number of copies of a prospectus, including a preliminary prospectus, in conformity with the requirements of the Act, and such other documents as they may reasonably request in order to facilitate the disposition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owned by them;</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9</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3"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(d) use its reasonable best efforts to register and qualify the securities covered by such registration statement under such other securities or Blue Sky laws of such jurisdictions as shall be reasonably requested by the Holders,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that the Company shall not be required in connection therewith or as a condition thereto to qualify to do business or to file a general consent to service of process in any such states or jurisdictions;</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(e) </w:t>
      </w:r>
      <w:proofErr w:type="gramStart"/>
      <w:r w:rsidRPr="00C8720F">
        <w:rPr>
          <w:rFonts w:ascii="Georgia" w:eastAsia="Times New Roman" w:hAnsi="Georgia" w:cs="Arial"/>
          <w:color w:val="333333"/>
          <w:sz w:val="15"/>
          <w:szCs w:val="15"/>
        </w:rPr>
        <w:t>in</w:t>
      </w:r>
      <w:proofErr w:type="gramEnd"/>
      <w:r w:rsidRPr="00C8720F">
        <w:rPr>
          <w:rFonts w:ascii="Georgia" w:eastAsia="Times New Roman" w:hAnsi="Georgia" w:cs="Arial"/>
          <w:color w:val="333333"/>
          <w:sz w:val="15"/>
          <w:szCs w:val="15"/>
        </w:rPr>
        <w:t xml:space="preserve"> the event of any underwritten public offering, enter into and perform its obligations under an underwriting agreement, in usual and customary form, with the managing underwriter of such offering;</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(f) notify each Holder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covered by such registration statement at any time when a prospectus relating thereto is required to be delivered under the Act of the happening of any event as a result of which the prospectus included in such registration statement, as then in effect, includes an untrue statement of a material fact or omits to state a material fact required to be stated therein or necessary to make the statements therein not misleading in the light of the circumstances then existing;</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 xml:space="preserve">(g) cause all such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registered pursuant to this Agreement to be listed on a national exchange or trading system and on each securities exchange and trading system on which similar securities issued by the Company are then listed; and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(h) </w:t>
      </w:r>
      <w:proofErr w:type="gramStart"/>
      <w:r w:rsidRPr="00C8720F">
        <w:rPr>
          <w:rFonts w:ascii="Georgia" w:eastAsia="Times New Roman" w:hAnsi="Georgia" w:cs="Arial"/>
          <w:color w:val="333333"/>
          <w:sz w:val="15"/>
          <w:szCs w:val="15"/>
        </w:rPr>
        <w:t>provide</w:t>
      </w:r>
      <w:proofErr w:type="gramEnd"/>
      <w:r w:rsidRPr="00C8720F">
        <w:rPr>
          <w:rFonts w:ascii="Georgia" w:eastAsia="Times New Roman" w:hAnsi="Georgia" w:cs="Arial"/>
          <w:color w:val="333333"/>
          <w:sz w:val="15"/>
          <w:szCs w:val="15"/>
        </w:rPr>
        <w:t xml:space="preserve"> a transfer agent and registrar for all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registered pursuant to this Agreement and a CUSIP number for all such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in each case not later than the effective date of such registration.</w:t>
      </w:r>
    </w:p>
    <w:p w:rsidR="00096BC1" w:rsidRPr="00C8720F" w:rsidRDefault="00096BC1" w:rsidP="00C8720F">
      <w:pPr>
        <w:shd w:val="clear" w:color="auto" w:fill="FFFFFF"/>
        <w:spacing w:before="18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Notwithstanding the provisions of this Section 1, the Company shall be entitled to postpone or suspend, for a reasonable period of time, the filing, effectiveness or use of, or trading under, any registration statement if the Company shall determine that any such filing or the sale of any securities pursuant to such registration statement would in the good faith judgment of the Board:</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materially impede, delay or interfere with any material pending or proposed financing, acquisition, corporate reorganization or other similar transaction involving the Company for which the Board has authorized negotiations;</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(ii) </w:t>
      </w:r>
      <w:proofErr w:type="gramStart"/>
      <w:r w:rsidRPr="00C8720F">
        <w:rPr>
          <w:rFonts w:ascii="Georgia" w:eastAsia="Times New Roman" w:hAnsi="Georgia" w:cs="Arial"/>
          <w:color w:val="333333"/>
          <w:sz w:val="15"/>
          <w:szCs w:val="15"/>
        </w:rPr>
        <w:t>materially</w:t>
      </w:r>
      <w:proofErr w:type="gramEnd"/>
      <w:r w:rsidRPr="00C8720F">
        <w:rPr>
          <w:rFonts w:ascii="Georgia" w:eastAsia="Times New Roman" w:hAnsi="Georgia" w:cs="Arial"/>
          <w:color w:val="333333"/>
          <w:sz w:val="15"/>
          <w:szCs w:val="15"/>
        </w:rPr>
        <w:t xml:space="preserve"> adversely impair the consummation of any pending or proposed material offering or sale of any class of securities by the Company; or</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(iii) require disclosure of material nonpublic information that, if disclosed at such time, would be materially harmful to the interests of the Company and its stockholders;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during any such period all executive officers and directors of the Company are also prohibited from selling securities of the Company (or any security of any of the Company's subsidiaries or affiliates).</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10</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4"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the event of the suspension of effectiveness of any registration statement pursuant to this Section 1.5, the applicable time period during which such registration statement is to remain effective shall be extended by that number of days equal to the number of days the effectiveness of such registration statement was suspended.</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1.6 </w:t>
      </w:r>
      <w:r w:rsidRPr="00C8720F">
        <w:rPr>
          <w:rFonts w:ascii="Georgia" w:eastAsia="Times New Roman" w:hAnsi="Georgia" w:cs="Arial"/>
          <w:color w:val="333333"/>
          <w:sz w:val="15"/>
          <w:szCs w:val="15"/>
          <w:u w:val="single"/>
        </w:rPr>
        <w:t>Information from Holder</w:t>
      </w:r>
      <w:r w:rsidRPr="00C8720F">
        <w:rPr>
          <w:rFonts w:ascii="Georgia" w:eastAsia="Times New Roman" w:hAnsi="Georgia" w:cs="Arial"/>
          <w:color w:val="333333"/>
          <w:sz w:val="15"/>
          <w:szCs w:val="15"/>
        </w:rPr>
        <w:t xml:space="preserve">. It shall be a condition precedent to the obligations of the Company to take any action pursuant to this Section 1 with respect to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of any selling Holder that such Holder shall furnish to the Company such information regarding itself,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held by it, and the intended method of disposition of such securities as shall be reasonably required to effect the registration of such Holder's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1.7 </w:t>
      </w:r>
      <w:r w:rsidRPr="00C8720F">
        <w:rPr>
          <w:rFonts w:ascii="Georgia" w:eastAsia="Times New Roman" w:hAnsi="Georgia" w:cs="Arial"/>
          <w:color w:val="333333"/>
          <w:sz w:val="15"/>
          <w:szCs w:val="15"/>
          <w:u w:val="single"/>
        </w:rPr>
        <w:t>Expenses of Registration</w:t>
      </w:r>
      <w:r w:rsidRPr="00C8720F">
        <w:rPr>
          <w:rFonts w:ascii="Georgia" w:eastAsia="Times New Roman" w:hAnsi="Georgia" w:cs="Arial"/>
          <w:color w:val="333333"/>
          <w:sz w:val="15"/>
          <w:szCs w:val="15"/>
        </w:rPr>
        <w:t xml:space="preserve">. All expenses other than underwriting discounts and commissions incurred in connection with registrations, filings or qualifications pursuant to Sections 1.2, 1.3 and 1.4, including (without limitation) all registration, filing and qualification fees, printers' and accounting fees, fees and disbursements of counsel for the Company and the reasonable fees and disbursements of one counsel for the selling Holders shall be borne by the Company. Notwithstanding the foregoing, the Company shall not be required to pay for any expenses of any registration proceeding begun pursuant to Section 1.2 or Section 1.4 if the registration request is subsequently withdrawn at the request of the Holders of a majority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requested to be registered (in which case all participating Holders shall bear such expenses pro rata based upon the number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that were to be included in the withdrawn registration), unless, in the case of a registration requested under Section 1.2, the Holders of a majority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agree to forfeit their right to one demand registration pursuant to Section 1.2 and provided, however, that if at the time of such withdrawal, the Holders have learned of a material adverse change in the condition, business or prospects of the Company from that known to the Holders at the time of their request and have withdrawn the request with reasonable promptness following disclosure by the Company of such material adverse change, then the Holders shall not be required to pay any of such expenses and shall retain their rights pursuant to Section 1.2 or Section 1.4.</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1.8 </w:t>
      </w:r>
      <w:r w:rsidRPr="00C8720F">
        <w:rPr>
          <w:rFonts w:ascii="Georgia" w:eastAsia="Times New Roman" w:hAnsi="Georgia" w:cs="Arial"/>
          <w:color w:val="333333"/>
          <w:sz w:val="15"/>
          <w:szCs w:val="15"/>
          <w:u w:val="single"/>
        </w:rPr>
        <w:t>Delay of Registration</w:t>
      </w:r>
      <w:r w:rsidRPr="00C8720F">
        <w:rPr>
          <w:rFonts w:ascii="Georgia" w:eastAsia="Times New Roman" w:hAnsi="Georgia" w:cs="Arial"/>
          <w:color w:val="333333"/>
          <w:sz w:val="15"/>
          <w:szCs w:val="15"/>
        </w:rPr>
        <w:t>. No Holder shall have any right to obtain or seek an injunction restraining or otherwise delaying any such registration as the result of any controversy that might arise with respect to the interpretation or implementation of this Section 1.</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1.9 </w:t>
      </w:r>
      <w:r w:rsidRPr="00C8720F">
        <w:rPr>
          <w:rFonts w:ascii="Georgia" w:eastAsia="Times New Roman" w:hAnsi="Georgia" w:cs="Arial"/>
          <w:color w:val="333333"/>
          <w:sz w:val="15"/>
          <w:szCs w:val="15"/>
          <w:u w:val="single"/>
        </w:rPr>
        <w:t>Indemnification</w:t>
      </w:r>
      <w:r w:rsidRPr="00C8720F">
        <w:rPr>
          <w:rFonts w:ascii="Georgia" w:eastAsia="Times New Roman" w:hAnsi="Georgia" w:cs="Arial"/>
          <w:color w:val="333333"/>
          <w:sz w:val="15"/>
          <w:szCs w:val="15"/>
        </w:rPr>
        <w:t xml:space="preserve">. In the event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are included in a registration statement under this Section 1:</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(a) To the extent permitted by law, the Company will indemnify and hold harmless each Holder, the partners, officers, directors and stockholders of each Holder, legal counsel and accountants for each Holder, any underwriter (as defined in the Act) for such Holder and each person, if any, who controls such Holder or underwriter within the meaning of the Act or the 1934 Act, against any expenses (including, without limitation, attorneys' fees and expenses) losses, claims, damages or liabilities (joint or several) to which they may become subject under the Act, the 1934 Act, any state securities laws or any rule or regulation promulgated under the Act, the 1934 Act or any such state securities laws, insofar as such expenses, losses, claims, damages, or liabilities (or actions in respect thereof) arise out of or are</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11</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pict>
          <v:rect id="_x0000_i1035" style="width:468pt;height:2.25pt" o:hralign="center" o:hrstd="t" o:hrnoshade="t" o:hr="t" fillcolor="#999" stroked="f"/>
        </w:pic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based upon any of the following statements, omissions or violations (collectively a "</w:t>
      </w:r>
      <w:r w:rsidRPr="00C8720F">
        <w:rPr>
          <w:rFonts w:ascii="Georgia" w:eastAsia="Times New Roman" w:hAnsi="Georgia" w:cs="Arial"/>
          <w:color w:val="333333"/>
          <w:sz w:val="15"/>
          <w:szCs w:val="15"/>
          <w:u w:val="single"/>
        </w:rPr>
        <w:t>Violation</w:t>
      </w:r>
      <w:r w:rsidRPr="00C8720F">
        <w:rPr>
          <w:rFonts w:ascii="Georgia" w:eastAsia="Times New Roman" w:hAnsi="Georgia" w:cs="Arial"/>
          <w:color w:val="333333"/>
          <w:sz w:val="15"/>
          <w:szCs w:val="15"/>
        </w:rPr>
        <w:t>"):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any untrue statement or alleged untrue statement of a material fact contained in such registration statement, including any preliminary prospectus or final prospectus contained therein or any amendments or supplements thereto, (ii) the omission or alleged omission to state in such registration statement a material fact required to be stated therein, or necessary to make the statements therein not misleading or (iii) any violation or alleged violation by the Company of the Act, the 1934 Act, any state securities laws or any rule or regulation promulgated under the Act, the 1934 Act or any state securities laws, and the Company will reimburse each such Holder, underwriter, controlling person or other aforementioned person for any legal or other expenses reasonably incurred by them in connection with investigating or defending any such loss, claim, damage, liability or action as such expenses are incurred;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the indemnity agreement contained in this subsection l.9(a) shall not apply to amounts paid in settlement of any such loss, claim, damage, liability or action if such settlement is effected without the consent of the Company (which consent shall not be unreasonably withheld), nor shall the Company be liable in any such case for any such loss, claim, damage, liability or action to the extent that it arises out of or is based upon a Violation that occurs in reliance upon and in conformity with written information furnished expressly for use in connection with such registration by any such Holder, underwriter, controlling person or other aforementioned person;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further</w:t>
      </w:r>
      <w:r w:rsidRPr="00C8720F">
        <w:rPr>
          <w:rFonts w:ascii="Georgia" w:eastAsia="Times New Roman" w:hAnsi="Georgia" w:cs="Arial"/>
          <w:color w:val="333333"/>
          <w:sz w:val="15"/>
          <w:szCs w:val="15"/>
        </w:rPr>
        <w:t>, that the foregoing indemnity agreement with respect to any preliminary prospectus shall not inure to the benefit of any Holder or underwriter or other aforementioned person, or any person controlling such Holder or underwriter, from whom the person asserting any such losses, claims, damages or liabilities purchased shares in the offering, if a copy of the most current prospectus was not sent or given by or on behalf of such Holder or underwriter or other aforementioned person to such person, if required by law to have been so delivered, at or prior to the written confirmation of the sale of the shares to such person, and if the prospectus (as so amended or supplemented) would have cured the defect giving rise to such loss, claim, damage or liability.</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(b) To the extent permitted by law, each selling Holder will indemnify and hold harmless the Company, each of its directors, each of its officers who has signed the registration statement, each person, if any, who controls the Company within the meaning of the Act, legal counsel and accountants for the Company, any underwriter, any other Holder selling securities in such registration statement and any controlling person of any such underwriter or other Holder, against any expenses (including, without limitation, attorneys' fees and expenses), losses, claims, damages or liabilities (joint or several) to which any of the foregoing persons may become subject, under the Act, the 1934 Act, any state securities laws or any rule or regulation promulgated under the Act, the 1934 Act or any state securities laws, insofar as such expenses, losses, claims, damages or liabilities (or actions in respect thereto) arise out of or are based upon any Violation, in each case to the extent (and only to the extent) that such Violation occurs in reliance upon and in conformity with written information furnished by such Holder expressly for use in connection with such registration; and each such Holder will reimburse any person intended to be indemnified pursuant to this subsection l.9(b) for any legal or other expenses reasonably incurred by such person in connection with investigating or defending any such loss, claim, damage, liability or action as such expenses are incurred;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the indemnity agreement contained in this subsection l.9(b) shall not apply to amounts paid in settlement of any such loss, claim, damage, liability or action if such settlement is effected without the consent of the Holder (which consent shall not be unreasonably withheld), and provided that in no event shall any indemnity under this subsection l.9(b) exceed the net proceeds from the offering received by such Holder.</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12</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6"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(c) Promptly after receipt by an indemnified party under this Section 1.9 of notice of the commencement of any action (including any governmental action), such indemnified party will, if a claim in respect thereof is to be made against any indemnifying party under this Section 1.9, deliver to the indemnifying party a written notice of the commencement thereof and the indemnifying party shall have the right to participate in and, to the extent the indemnifying party so desires, jointly with any other indemnifying party similarly noticed, to assume the defense thereof with counsel mutually satisfactory to the parties;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proceeding. The failure to deliver written notice to the indemnifying party within a reasonable time of the commencement of any such action, if materially prejudicial to its ability to defend such action, shall relieve such indemnifying party of any liability to the indemnified party under this Section 1.9, but the omission to so deliver written notice to the indemnifying party will not relieve it of any liability that it may have to any indemnified party otherwise than under this Section 1.9.</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(d) If the indemnification provided for in this Section 1.9 is held by a court of competent jurisdiction to be unavailable to an indemnified party with respect to any loss, liability, claim, damage or expense referred to herein, then the indemnifying party, in lieu of indemnifying such indemnified party hereunder, shall contribute to the amount paid or payable by such indemnified party as a result of such loss, liability, claim, damage or expense in such proportion as is appropriate to reflect the relative fault of the indemnifying party on the one hand and the indemnified party on the other hand in connection with the statements or omissions that resulted in such expense, loss, liability, </w:t>
      </w:r>
      <w:r w:rsidRPr="00C8720F">
        <w:rPr>
          <w:rFonts w:ascii="Georgia" w:eastAsia="Times New Roman" w:hAnsi="Georgia" w:cs="Arial"/>
          <w:color w:val="333333"/>
          <w:sz w:val="15"/>
          <w:szCs w:val="15"/>
        </w:rPr>
        <w:lastRenderedPageBreak/>
        <w:t>claim, damage or expense, as well as any other relevant equitable considerations;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no contribution by any Holder, when combined with any amounts paid by such Holder pursuant to Section 1.9(b), shall exceed the net proceeds from the offering received by such Holder. The relative fault of the indemnifying party and the indemnified party shall be determined by a court of law by reference to, among other things, whether the untrue or alleged untrue statement of a material fact or the omission or alleged omission to state a material fact relates to information supplied by the indemnifying party or by the indemnified party and the parties' relative intent, knowledge, access to information and opportunity to correct or prevent such statement or omission.</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(e) 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(f) The obligations of the Company and Holders under this Section 1.9 shall survive the completion of any offering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in a registration statement under this Section 1 and otherwise.</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13</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7"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1.10 </w:t>
      </w:r>
      <w:r w:rsidRPr="00C8720F">
        <w:rPr>
          <w:rFonts w:ascii="Georgia" w:eastAsia="Times New Roman" w:hAnsi="Georgia" w:cs="Arial"/>
          <w:color w:val="333333"/>
          <w:sz w:val="15"/>
          <w:szCs w:val="15"/>
          <w:u w:val="single"/>
        </w:rPr>
        <w:t xml:space="preserve">Reports </w:t>
      </w:r>
      <w:proofErr w:type="gramStart"/>
      <w:r w:rsidRPr="00C8720F">
        <w:rPr>
          <w:rFonts w:ascii="Georgia" w:eastAsia="Times New Roman" w:hAnsi="Georgia" w:cs="Arial"/>
          <w:color w:val="333333"/>
          <w:sz w:val="15"/>
          <w:szCs w:val="15"/>
          <w:u w:val="single"/>
        </w:rPr>
        <w:t>Under</w:t>
      </w:r>
      <w:proofErr w:type="gramEnd"/>
      <w:r w:rsidRPr="00C8720F">
        <w:rPr>
          <w:rFonts w:ascii="Georgia" w:eastAsia="Times New Roman" w:hAnsi="Georgia" w:cs="Arial"/>
          <w:color w:val="333333"/>
          <w:sz w:val="15"/>
          <w:szCs w:val="15"/>
          <w:u w:val="single"/>
        </w:rPr>
        <w:t xml:space="preserve"> the 1934 Act</w:t>
      </w:r>
      <w:r w:rsidRPr="00C8720F">
        <w:rPr>
          <w:rFonts w:ascii="Georgia" w:eastAsia="Times New Roman" w:hAnsi="Georgia" w:cs="Arial"/>
          <w:color w:val="333333"/>
          <w:sz w:val="15"/>
          <w:szCs w:val="15"/>
        </w:rPr>
        <w:t>. With a view to making available to the Holders the benefits of Rule 144 and any other rule or regulation of the SEC that may at any time permit a Holder to sell securities of the Company to the public without registration or pursuant to a registration on Form S-3, the Company agrees to:</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(a) make and keep public information available, as those terms are understood and defined in Rule 144, at all times after the effective date of the Initial Offering;</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(b) </w:t>
      </w:r>
      <w:proofErr w:type="gramStart"/>
      <w:r w:rsidRPr="00C8720F">
        <w:rPr>
          <w:rFonts w:ascii="Georgia" w:eastAsia="Times New Roman" w:hAnsi="Georgia" w:cs="Arial"/>
          <w:color w:val="333333"/>
          <w:sz w:val="15"/>
          <w:szCs w:val="15"/>
        </w:rPr>
        <w:t>file</w:t>
      </w:r>
      <w:proofErr w:type="gramEnd"/>
      <w:r w:rsidRPr="00C8720F">
        <w:rPr>
          <w:rFonts w:ascii="Georgia" w:eastAsia="Times New Roman" w:hAnsi="Georgia" w:cs="Arial"/>
          <w:color w:val="333333"/>
          <w:sz w:val="15"/>
          <w:szCs w:val="15"/>
        </w:rPr>
        <w:t xml:space="preserve"> with the SEC in a timely manner all reports and other documents required of the Company under the Act and the 1934 Act; and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 furnish to any Holder, so long as the Holder owns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forthwith upon request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a written statement by the Company that it has complied with the reporting requirements of Rule 144 (at any time after 90 days after the effective date of the first registration statement filed by the Company), the Act and the 1934 Act (at any time after it has become subject to such reporting requirements), or that it qualifies as a registrant whose securities may be resold pursuant to Form S-3 (at any time after it so qualifies), (ii) a copy of the most recent annual or quarterly report of the Company and such other reports and documents so filed by the Company, and (iii) such other information as may be reasonably requested to avail any Holder of any rule or regulation of the SEC that permits the selling of any such securities without registration or pursuant to such form.</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1.11 </w:t>
      </w:r>
      <w:r w:rsidRPr="00C8720F">
        <w:rPr>
          <w:rFonts w:ascii="Georgia" w:eastAsia="Times New Roman" w:hAnsi="Georgia" w:cs="Arial"/>
          <w:color w:val="333333"/>
          <w:sz w:val="15"/>
          <w:szCs w:val="15"/>
          <w:u w:val="single"/>
        </w:rPr>
        <w:t>Assignment of Registration Rights</w:t>
      </w:r>
      <w:r w:rsidRPr="00C8720F">
        <w:rPr>
          <w:rFonts w:ascii="Georgia" w:eastAsia="Times New Roman" w:hAnsi="Georgia" w:cs="Arial"/>
          <w:color w:val="333333"/>
          <w:sz w:val="15"/>
          <w:szCs w:val="15"/>
        </w:rPr>
        <w:t xml:space="preserve">. The rights to cause the Company to register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pursuant to this Section 1 may be assigned (but only with all related obligations) by a Holder to a transferee or assignee of such securities that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xml:space="preserve">) is a subsidiary, parent, affiliate, member, limited or general partner, or stockholder of a Holder or an investment entity in which such Investor is a member or a limited or general partner, (ii) is a venture capital fund or investment fund that is controlled by or under common control with one or more general partners or managing members of such Holder, (iii) is a Holder's family member or trust for the benefit of an individual Holder, or (iv) after such assignment or transfer, holds at least 100,000 shares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(subject to appropriate adjustment for stock splits, stock dividends, combinations or the like),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that (a) the Company is, within a reasonable time after such transfer, furnished with written notice of the name and address of such transferee or assignee and the securities with respect to which such registration rights are being assigned; (b) such transferee or assignee agrees in writing to be bound by and subject to the terms and conditions of this Agreement, including, without limitation, the provisions of Section 1.13 below; and (c) such assignment shall be effective only if immediately following such transfer the further disposition of such securities by the transferee or assignee is restricted under the Act.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1.12 </w:t>
      </w:r>
      <w:r w:rsidRPr="00C8720F">
        <w:rPr>
          <w:rFonts w:ascii="Georgia" w:eastAsia="Times New Roman" w:hAnsi="Georgia" w:cs="Arial"/>
          <w:color w:val="333333"/>
          <w:sz w:val="15"/>
          <w:szCs w:val="15"/>
          <w:u w:val="single"/>
        </w:rPr>
        <w:t>Limitations on Subsequent Registration Rights</w:t>
      </w:r>
      <w:r w:rsidRPr="00C8720F">
        <w:rPr>
          <w:rFonts w:ascii="Georgia" w:eastAsia="Times New Roman" w:hAnsi="Georgia" w:cs="Arial"/>
          <w:color w:val="333333"/>
          <w:sz w:val="15"/>
          <w:szCs w:val="15"/>
        </w:rPr>
        <w:t xml:space="preserve">. From and after the date of this Agreement, the Company shall not, without the prior written consent of the Holders of a majority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enter into any agreement with any holder or prospective holder of any securities of the Company that would allow such holder or prospective holder (a) to include any of such securities in any registration filed under Section 1.2, Section 1.3 or Section 1.4 hereof, unless under the terms of such agreement, such holder or prospective holder may include such securities in any such registration only to the extent that the inclusion of such</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14</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8" style="width:468pt;height:2.25pt" o:hralign="center" o:hrstd="t" o:hrnoshade="t" o:hr="t" fillcolor="#999" stroked="f"/>
        </w:pic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securities</w:t>
      </w:r>
      <w:proofErr w:type="gramEnd"/>
      <w:r w:rsidRPr="00C8720F">
        <w:rPr>
          <w:rFonts w:ascii="Georgia" w:eastAsia="Times New Roman" w:hAnsi="Georgia" w:cs="Arial"/>
          <w:color w:val="333333"/>
          <w:sz w:val="15"/>
          <w:szCs w:val="15"/>
        </w:rPr>
        <w:t xml:space="preserve"> will not reduce the amount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of the Holders that are included or (b) to demand registration of their securities. Notwithstanding the foregoing, no such consent shall be required for the Company to enter into the Allocation Agreement.</w:t>
      </w:r>
    </w:p>
    <w:p w:rsidR="00096BC1" w:rsidRPr="00C8720F" w:rsidRDefault="00096BC1" w:rsidP="00C8720F">
      <w:pPr>
        <w:shd w:val="clear" w:color="auto" w:fill="FFFFFF"/>
        <w:spacing w:before="270" w:after="0" w:line="240" w:lineRule="auto"/>
        <w:ind w:right="2520" w:firstLine="979"/>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1.13 "</w:t>
      </w:r>
      <w:r w:rsidRPr="00C8720F">
        <w:rPr>
          <w:rFonts w:ascii="Georgia" w:eastAsia="Times New Roman" w:hAnsi="Georgia" w:cs="Arial"/>
          <w:color w:val="333333"/>
          <w:sz w:val="15"/>
          <w:szCs w:val="15"/>
          <w:u w:val="single"/>
        </w:rPr>
        <w:t>Market Stand-Off" Agreement</w:t>
      </w:r>
      <w:r w:rsidRPr="00C8720F">
        <w:rPr>
          <w:rFonts w:ascii="Georgia" w:eastAsia="Times New Roman" w:hAnsi="Georgia" w:cs="Arial"/>
          <w:color w:val="333333"/>
          <w:sz w:val="15"/>
          <w:szCs w:val="15"/>
        </w:rPr>
        <w:t>.</w:t>
      </w:r>
      <w:proofErr w:type="gramEnd"/>
    </w:p>
    <w:p w:rsidR="00096BC1" w:rsidRPr="00C8720F" w:rsidRDefault="00096BC1" w:rsidP="00C8720F">
      <w:pPr>
        <w:shd w:val="clear" w:color="auto" w:fill="FFFFFF"/>
        <w:spacing w:before="9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 xml:space="preserve">(a) Each Holder hereby agrees that, without the prior written consent of the managing underwriter, during the period of duration specified by the Company and an underwriter of common stock or other securities of the Company, following the date of the first sale to the public pursuant to a registration statement of the Company filed under the 1933 Act, it shall not, to the extent requested by the Company and such underwriter, directly or indirectly sell, offer to sell, contract to sell (including, without limitation, any short sale), grant any option to purchase or otherwise transfer or dispose of (other than to </w:t>
      </w:r>
      <w:proofErr w:type="spellStart"/>
      <w:r w:rsidRPr="00C8720F">
        <w:rPr>
          <w:rFonts w:ascii="Georgia" w:eastAsia="Times New Roman" w:hAnsi="Georgia" w:cs="Arial"/>
          <w:color w:val="333333"/>
          <w:sz w:val="15"/>
          <w:szCs w:val="15"/>
        </w:rPr>
        <w:t>donees</w:t>
      </w:r>
      <w:proofErr w:type="spellEnd"/>
      <w:r w:rsidRPr="00C8720F">
        <w:rPr>
          <w:rFonts w:ascii="Georgia" w:eastAsia="Times New Roman" w:hAnsi="Georgia" w:cs="Arial"/>
          <w:color w:val="333333"/>
          <w:sz w:val="15"/>
          <w:szCs w:val="15"/>
        </w:rPr>
        <w:t xml:space="preserve"> who agree to be similarly bound) any securities of the Company held by it immediately prior to the effectiveness of the registration statement for such offering except common stock included in, or acquired after, such registration;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such agreement shall be applicable only to the first such registration statement of the Company which covers common stock (or other securities) to be sold on its behalf to the public in an underwritten offering and shall not apply to the sale of any shares to an underwriter pursuant to an underwriting agreement or to any shares purchased or sold after the Initial Offering that are not otherwise subject to similar restrictions;</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(ii) </w:t>
      </w:r>
      <w:proofErr w:type="gramStart"/>
      <w:r w:rsidRPr="00C8720F">
        <w:rPr>
          <w:rFonts w:ascii="Georgia" w:eastAsia="Times New Roman" w:hAnsi="Georgia" w:cs="Arial"/>
          <w:color w:val="333333"/>
          <w:sz w:val="15"/>
          <w:szCs w:val="15"/>
        </w:rPr>
        <w:t>all</w:t>
      </w:r>
      <w:proofErr w:type="gramEnd"/>
      <w:r w:rsidRPr="00C8720F">
        <w:rPr>
          <w:rFonts w:ascii="Georgia" w:eastAsia="Times New Roman" w:hAnsi="Georgia" w:cs="Arial"/>
          <w:color w:val="333333"/>
          <w:sz w:val="15"/>
          <w:szCs w:val="15"/>
        </w:rPr>
        <w:t xml:space="preserve"> officers, directors and stockholders holding at least 3% of the outstanding Common Stock (or stockholders with smaller percentages if required by the underwriters) of the Company enter into similar agreements; and</w:t>
      </w:r>
    </w:p>
    <w:p w:rsidR="00096BC1" w:rsidRPr="00C8720F" w:rsidRDefault="00096BC1" w:rsidP="00C8720F">
      <w:pPr>
        <w:shd w:val="clear" w:color="auto" w:fill="FFFFFF"/>
        <w:spacing w:before="180" w:after="0" w:line="240" w:lineRule="auto"/>
        <w:ind w:right="2520" w:firstLine="2081"/>
        <w:rPr>
          <w:rFonts w:ascii="Georgia" w:eastAsia="Times New Roman" w:hAnsi="Georgia" w:cs="Arial"/>
          <w:color w:val="333333"/>
          <w:sz w:val="15"/>
          <w:szCs w:val="15"/>
        </w:rPr>
      </w:pPr>
      <w:r w:rsidRPr="00C8720F">
        <w:rPr>
          <w:rFonts w:ascii="Georgia" w:eastAsia="Times New Roman" w:hAnsi="Georgia" w:cs="Arial"/>
          <w:color w:val="333333"/>
          <w:sz w:val="15"/>
          <w:szCs w:val="15"/>
        </w:rPr>
        <w:t>(iii) such market stand-off time period shall not exceed 180 days from the effective date of the Initial Offering or, if required by such underwriter, such longer period of time as is necessary to enable such underwriter to issue a research report or make a public appearance that relates to an earnings release or announcement by the Company within 15 days before or after the date that is 180 days after the effective date of the registration statement relating to such offering, but in any event not to exceed 210 days following the effective date of the registration statement relating to such offering.</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(b) For purposes of this Section 1.13, the term "Company" shall include any wholly-owned subsidiary of the Company into which the Company merges or consolidates. In order to enforce the foregoing covenant, the Company shall have the right to place the following restrictive legend on the certificates representing the shares subject to this Section and to impose stop transfer instructions with respect to the Securities and such other Company securities of each Investor (and the shares or securities of every other person subject to the foregoing restriction) until the end of such period:</w:t>
      </w:r>
    </w:p>
    <w:p w:rsidR="00096BC1" w:rsidRPr="00C8720F" w:rsidRDefault="00096BC1" w:rsidP="00C8720F">
      <w:pPr>
        <w:shd w:val="clear" w:color="auto" w:fill="FFFFFF"/>
        <w:spacing w:before="90" w:after="0" w:line="240" w:lineRule="auto"/>
        <w:ind w:left="979"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THE SHARES REPRESENTED BY THIS CERTIFICATE ARE SUBJECT TO RESTRICTIONS ON TRANSFERABILITY AND RESALE, INCLUDING A LOCK-UP PERIOD IN THE EVENT OF A PUBLIC OFFERING, AS SET FORTH IN A CERTAIN AGREEMENT BETWEEN THE ISSUER AND THE</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15</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39" style="width:468pt;height:2.25pt" o:hralign="center" o:hrstd="t" o:hrnoshade="t" o:hr="t" fillcolor="#999" stroked="f"/>
        </w:pict>
      </w:r>
    </w:p>
    <w:p w:rsidR="00096BC1" w:rsidRPr="00C8720F" w:rsidRDefault="00096BC1" w:rsidP="00C8720F">
      <w:pPr>
        <w:shd w:val="clear" w:color="auto" w:fill="FFFFFF"/>
        <w:spacing w:after="0" w:line="240" w:lineRule="auto"/>
        <w:ind w:left="979"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ORIGINAL HOLDER OF THESE SHARES, A COPY OF WHICH MAY BE OBTAINED AT THE PRINCIPAL OFFICE OF THE ISSUER.</w:t>
      </w:r>
      <w:proofErr w:type="gramEnd"/>
      <w:r w:rsidRPr="00C8720F">
        <w:rPr>
          <w:rFonts w:ascii="Georgia" w:eastAsia="Times New Roman" w:hAnsi="Georgia" w:cs="Arial"/>
          <w:color w:val="333333"/>
          <w:sz w:val="15"/>
          <w:szCs w:val="15"/>
        </w:rPr>
        <w:t xml:space="preserve"> AS A RESULT OF SUCH AGREEMENT, THESE SHARES MAY NOT BE TRADED PRIOR TO AT LEAST 180 DAYS AFTER THE EFFECTIVE DATE OF THE INITIAL PUBLIC OFFERING OF THE COMMON STOCK OF THE ISSUER HEREOF. SUCH RESTRICTION IS BINDING ON TRANSFEREES OF THESE SHARES.</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(c) Each Investor further agrees to enter into any agreement reasonably required by the underwriters to implement the foregoing within any reasonable time frame so requested.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(d) Any discretionary waiver or termination of the restrictions of any or all such agreements by the Company or the underwriters shall apply to all Holders subject to such agreements pro rata based on the number of shares subject to such agreements.</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(e) Notwithstanding the foregoing, the obligations described in this Section 1.13 shall not apply to a registration relating solely to employee benefit plans on Form S-1 under the Act or Form S-8 under the Act or similar forms which may be promulgated in the future, or a registration relating solely to a Rule 145 transaction on Form S-4 under the Act or similar forms which may be promulgated in the future.</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1.14 </w:t>
      </w:r>
      <w:r w:rsidRPr="00C8720F">
        <w:rPr>
          <w:rFonts w:ascii="Georgia" w:eastAsia="Times New Roman" w:hAnsi="Georgia" w:cs="Arial"/>
          <w:color w:val="333333"/>
          <w:sz w:val="15"/>
          <w:szCs w:val="15"/>
          <w:u w:val="single"/>
        </w:rPr>
        <w:t>Termination of Registration Rights</w:t>
      </w:r>
      <w:r w:rsidRPr="00C8720F">
        <w:rPr>
          <w:rFonts w:ascii="Georgia" w:eastAsia="Times New Roman" w:hAnsi="Georgia" w:cs="Arial"/>
          <w:color w:val="333333"/>
          <w:sz w:val="15"/>
          <w:szCs w:val="15"/>
        </w:rPr>
        <w:t>. No Holder shall be entitled to exercise any right provided for in this Section 1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xml:space="preserve">) after five years following the consummation of the Qualified IPO, or (ii) as to any Holder, such earlier time after the Initial Offering at which such Holder holds one percent (1%) or less of the Company's outstanding Common Stock and all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held by such Holder (together with any affiliate of the Holder with whom such Holder must aggregate its sales under Rule 144) can be sold in any three (3)-month period without registration in compliance with Rule 144.</w:t>
      </w:r>
    </w:p>
    <w:p w:rsidR="00096BC1" w:rsidRPr="00C8720F" w:rsidRDefault="00096BC1" w:rsidP="00C8720F">
      <w:pPr>
        <w:shd w:val="clear" w:color="auto" w:fill="FFFFFF"/>
        <w:spacing w:before="270"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2. </w:t>
      </w:r>
      <w:r w:rsidRPr="00C8720F">
        <w:rPr>
          <w:rFonts w:ascii="Georgia" w:eastAsia="Times New Roman" w:hAnsi="Georgia" w:cs="Arial"/>
          <w:color w:val="333333"/>
          <w:sz w:val="15"/>
          <w:szCs w:val="15"/>
          <w:u w:val="single"/>
        </w:rPr>
        <w:t>Covenants of the Company</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9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2.1 </w:t>
      </w:r>
      <w:r w:rsidRPr="00C8720F">
        <w:rPr>
          <w:rFonts w:ascii="Georgia" w:eastAsia="Times New Roman" w:hAnsi="Georgia" w:cs="Arial"/>
          <w:color w:val="333333"/>
          <w:sz w:val="15"/>
          <w:szCs w:val="15"/>
          <w:u w:val="single"/>
        </w:rPr>
        <w:t>Delivery of Financial Statements</w:t>
      </w:r>
      <w:r w:rsidRPr="00C8720F">
        <w:rPr>
          <w:rFonts w:ascii="Georgia" w:eastAsia="Times New Roman" w:hAnsi="Georgia" w:cs="Arial"/>
          <w:color w:val="333333"/>
          <w:sz w:val="15"/>
          <w:szCs w:val="15"/>
        </w:rPr>
        <w:t xml:space="preserve">. The Company shall deliver to each Investor (or transferee of an Investor) that holds (a) at least 1,500,000 shares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or (b) at </w:t>
      </w:r>
      <w:r w:rsidRPr="00C8720F">
        <w:rPr>
          <w:rFonts w:ascii="Georgia" w:eastAsia="Times New Roman" w:hAnsi="Georgia" w:cs="Arial"/>
          <w:color w:val="333333"/>
          <w:sz w:val="15"/>
          <w:szCs w:val="15"/>
        </w:rPr>
        <w:lastRenderedPageBreak/>
        <w:t>least 806,500 shares of Series C-1 Preferred Stock or Series C-2 Preferred Stock (or shares of Common Stock issued or issuable upon conversion thereof) each as subject to appropriate adjustment for stock splits, stock dividends, combinations or the like (a "</w:t>
      </w:r>
      <w:r w:rsidRPr="00C8720F">
        <w:rPr>
          <w:rFonts w:ascii="Georgia" w:eastAsia="Times New Roman" w:hAnsi="Georgia" w:cs="Arial"/>
          <w:color w:val="333333"/>
          <w:sz w:val="15"/>
          <w:szCs w:val="15"/>
          <w:u w:val="single"/>
        </w:rPr>
        <w:t>Major Investor</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(a) as soon as practicable, but in any event within 120 days after the end of each fiscal year of the Company, or such later date approved by the Board, an income statement for such fiscal year, a balance sheet of the Company and statement of stockholders' equity as of the end of such year, and a statement of cash flows for such year, such year-end financial reports to be in reasonable detail, prepared in accordance with generally accepted accounting principles ("</w:t>
      </w:r>
      <w:r w:rsidRPr="00C8720F">
        <w:rPr>
          <w:rFonts w:ascii="Georgia" w:eastAsia="Times New Roman" w:hAnsi="Georgia" w:cs="Arial"/>
          <w:color w:val="333333"/>
          <w:sz w:val="15"/>
          <w:szCs w:val="15"/>
          <w:u w:val="single"/>
        </w:rPr>
        <w:t>GAAP</w:t>
      </w:r>
      <w:r w:rsidRPr="00C8720F">
        <w:rPr>
          <w:rFonts w:ascii="Georgia" w:eastAsia="Times New Roman" w:hAnsi="Georgia" w:cs="Arial"/>
          <w:color w:val="333333"/>
          <w:sz w:val="15"/>
          <w:szCs w:val="15"/>
        </w:rPr>
        <w:t>"), and audited and certified by independent public accountants of nationally recognized standing selected by the Company;</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16</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0"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(b) as soon as practicable, but in any event within 45 days after the end of each of the first three quarters of each fiscal year of the Company, an unaudited income statement and statement of cash flows for such fiscal quarter, an unaudited balance sheet as of the end of such fiscal quarter, a written analysis of the Company's actual financial performance as compared to the Company's budget for such fiscal quarter, including commentary explaining any material variances, and written analysis of the Company's compliance with its bank loan covenants, if any, for such fiscal quarter;</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(c) within 30 days of the end of each month, an unaudited income statement and statement of cash flows and balance sheet for and as of the end of such month, in reasonable detail and compared against the Company's operating plan;</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(d) as soon as practicable, but in any event at least 30 days prior to the end of each fiscal year, a budget and operating plan for the next fiscal year, prepared on a monthly basis, including balance sheets, income statements and statements of cash flows for such months and, as soon as prepared, any other budgets or revised budgets prepared by the Company; and</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(e) such other information relating to the financial condition, business or corporate affairs of the Company as the Major Investor may from time to time request;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the Company shall not be obligated under this subsection (e) to provide information that it deems in good faith to be a trade secret or similar confidential information.</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2.2 </w:t>
      </w:r>
      <w:r w:rsidRPr="00C8720F">
        <w:rPr>
          <w:rFonts w:ascii="Georgia" w:eastAsia="Times New Roman" w:hAnsi="Georgia" w:cs="Arial"/>
          <w:color w:val="333333"/>
          <w:sz w:val="15"/>
          <w:szCs w:val="15"/>
          <w:u w:val="single"/>
        </w:rPr>
        <w:t>Inspection</w:t>
      </w:r>
      <w:r w:rsidRPr="00C8720F">
        <w:rPr>
          <w:rFonts w:ascii="Georgia" w:eastAsia="Times New Roman" w:hAnsi="Georgia" w:cs="Arial"/>
          <w:color w:val="333333"/>
          <w:sz w:val="15"/>
          <w:szCs w:val="15"/>
        </w:rPr>
        <w:t xml:space="preserve">. The Company shall permit each Major Investor (provided that the Board has not reasonably determined that such Major Investor is a competitor of the Company), at such Major Investor's expense, to visit and inspect the Company's properties, to examine its books of account and records and to discuss the Company's affairs, finances and accounts with its officers, all at such reasonable times as may be requested by the Major </w:t>
      </w:r>
      <w:proofErr w:type="spellStart"/>
      <w:r w:rsidRPr="00C8720F">
        <w:rPr>
          <w:rFonts w:ascii="Georgia" w:eastAsia="Times New Roman" w:hAnsi="Georgia" w:cs="Arial"/>
          <w:color w:val="333333"/>
          <w:sz w:val="15"/>
          <w:szCs w:val="15"/>
        </w:rPr>
        <w:t>Investor;</w:t>
      </w:r>
      <w:r w:rsidRPr="00C8720F">
        <w:rPr>
          <w:rFonts w:ascii="Georgia" w:eastAsia="Times New Roman" w:hAnsi="Georgia" w:cs="Arial"/>
          <w:color w:val="333333"/>
          <w:sz w:val="15"/>
          <w:szCs w:val="15"/>
          <w:u w:val="single"/>
        </w:rPr>
        <w:t>provided</w:t>
      </w:r>
      <w:proofErr w:type="spellEnd"/>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the Company shall not be obligated pursuant to this Section 2.2 to provide access to any information that it reasonably considers to be a trade secret or similar confidential information.</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2.3 </w:t>
      </w:r>
      <w:r w:rsidRPr="00C8720F">
        <w:rPr>
          <w:rFonts w:ascii="Georgia" w:eastAsia="Times New Roman" w:hAnsi="Georgia" w:cs="Arial"/>
          <w:color w:val="333333"/>
          <w:sz w:val="15"/>
          <w:szCs w:val="15"/>
          <w:u w:val="single"/>
        </w:rPr>
        <w:t>Termination of Information and Inspection Covenants</w:t>
      </w:r>
      <w:r w:rsidRPr="00C8720F">
        <w:rPr>
          <w:rFonts w:ascii="Georgia" w:eastAsia="Times New Roman" w:hAnsi="Georgia" w:cs="Arial"/>
          <w:color w:val="333333"/>
          <w:sz w:val="15"/>
          <w:szCs w:val="15"/>
        </w:rPr>
        <w:t>. The covenants set forth in Section 2.1 and Section 2.2 shall terminate and be of no further force or effect upon the consummation of a Qualified IPO.</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2.4 </w:t>
      </w:r>
      <w:r w:rsidRPr="00C8720F">
        <w:rPr>
          <w:rFonts w:ascii="Georgia" w:eastAsia="Times New Roman" w:hAnsi="Georgia" w:cs="Arial"/>
          <w:color w:val="333333"/>
          <w:sz w:val="15"/>
          <w:szCs w:val="15"/>
          <w:u w:val="single"/>
        </w:rPr>
        <w:t>Right of First Offer</w:t>
      </w:r>
      <w:r w:rsidRPr="00C8720F">
        <w:rPr>
          <w:rFonts w:ascii="Georgia" w:eastAsia="Times New Roman" w:hAnsi="Georgia" w:cs="Arial"/>
          <w:color w:val="333333"/>
          <w:sz w:val="15"/>
          <w:szCs w:val="15"/>
        </w:rPr>
        <w:t>. Subject to the terms and conditions specified in this Section 2.4, the Company hereby grants to each Holder that then holds shares of Preferred Stock or securities of the Company convertible into or exercisable for Preferred Stock (each, a "</w:t>
      </w:r>
      <w:r w:rsidRPr="00C8720F">
        <w:rPr>
          <w:rFonts w:ascii="Georgia" w:eastAsia="Times New Roman" w:hAnsi="Georgia" w:cs="Arial"/>
          <w:color w:val="333333"/>
          <w:sz w:val="15"/>
          <w:szCs w:val="15"/>
          <w:u w:val="single"/>
        </w:rPr>
        <w:t>Preferred Stockholder</w:t>
      </w:r>
      <w:r w:rsidRPr="00C8720F">
        <w:rPr>
          <w:rFonts w:ascii="Georgia" w:eastAsia="Times New Roman" w:hAnsi="Georgia" w:cs="Arial"/>
          <w:color w:val="333333"/>
          <w:sz w:val="15"/>
          <w:szCs w:val="15"/>
        </w:rPr>
        <w:t>") a right of first offer with respect to future sales by the Company of its Shares (as hereinafter defined). For purposes of this Section 2.4, the term "</w:t>
      </w:r>
      <w:r w:rsidRPr="00C8720F">
        <w:rPr>
          <w:rFonts w:ascii="Georgia" w:eastAsia="Times New Roman" w:hAnsi="Georgia" w:cs="Arial"/>
          <w:color w:val="333333"/>
          <w:sz w:val="15"/>
          <w:szCs w:val="15"/>
          <w:u w:val="single"/>
        </w:rPr>
        <w:t>Preferred Stockholder</w:t>
      </w:r>
      <w:r w:rsidRPr="00C8720F">
        <w:rPr>
          <w:rFonts w:ascii="Georgia" w:eastAsia="Times New Roman" w:hAnsi="Georgia" w:cs="Arial"/>
          <w:color w:val="333333"/>
          <w:sz w:val="15"/>
          <w:szCs w:val="15"/>
        </w:rPr>
        <w:t>" includes any members, partners and affiliates of a Preferred Stockholder. A Preferred Stockholder shall be entitled to apportion the right of first offer hereby granted it among itself and its partners and affiliates in such proportions as it deems appropriate.</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17</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1"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Each time the Company proposes to offer any shares </w:t>
      </w:r>
      <w:proofErr w:type="gramStart"/>
      <w:r w:rsidRPr="00C8720F">
        <w:rPr>
          <w:rFonts w:ascii="Georgia" w:eastAsia="Times New Roman" w:hAnsi="Georgia" w:cs="Arial"/>
          <w:color w:val="333333"/>
          <w:sz w:val="15"/>
          <w:szCs w:val="15"/>
        </w:rPr>
        <w:t>of,</w:t>
      </w:r>
      <w:proofErr w:type="gramEnd"/>
      <w:r w:rsidRPr="00C8720F">
        <w:rPr>
          <w:rFonts w:ascii="Georgia" w:eastAsia="Times New Roman" w:hAnsi="Georgia" w:cs="Arial"/>
          <w:color w:val="333333"/>
          <w:sz w:val="15"/>
          <w:szCs w:val="15"/>
        </w:rPr>
        <w:t xml:space="preserve"> or securities convertible into or exchangeable or exercisable for any shares of, any class or series of its capital stock ("</w:t>
      </w:r>
      <w:r w:rsidRPr="00C8720F">
        <w:rPr>
          <w:rFonts w:ascii="Georgia" w:eastAsia="Times New Roman" w:hAnsi="Georgia" w:cs="Arial"/>
          <w:color w:val="333333"/>
          <w:sz w:val="15"/>
          <w:szCs w:val="15"/>
          <w:u w:val="single"/>
        </w:rPr>
        <w:t>Shares</w:t>
      </w:r>
      <w:r w:rsidRPr="00C8720F">
        <w:rPr>
          <w:rFonts w:ascii="Georgia" w:eastAsia="Times New Roman" w:hAnsi="Georgia" w:cs="Arial"/>
          <w:color w:val="333333"/>
          <w:sz w:val="15"/>
          <w:szCs w:val="15"/>
        </w:rPr>
        <w:t>"), the Company shall first make an offering of such Shares to each Preferred Stockholder in accordance with the following provisions:</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(a) The Company shall deliver a notice in accordance with Section 3.5 ("</w:t>
      </w:r>
      <w:r w:rsidRPr="00C8720F">
        <w:rPr>
          <w:rFonts w:ascii="Georgia" w:eastAsia="Times New Roman" w:hAnsi="Georgia" w:cs="Arial"/>
          <w:color w:val="333333"/>
          <w:sz w:val="15"/>
          <w:szCs w:val="15"/>
          <w:u w:val="single"/>
        </w:rPr>
        <w:t>Notice</w:t>
      </w:r>
      <w:r w:rsidRPr="00C8720F">
        <w:rPr>
          <w:rFonts w:ascii="Georgia" w:eastAsia="Times New Roman" w:hAnsi="Georgia" w:cs="Arial"/>
          <w:color w:val="333333"/>
          <w:sz w:val="15"/>
          <w:szCs w:val="15"/>
        </w:rPr>
        <w:t>") to the Preferred Stockholders stating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its bona fide intention to offer such Shares, (ii) the number of such Shares to be offered, and (iii) the price and terms upon which it proposes to offer such Shares.</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(b) By written notification received by the Company within 30 calendar days after the giving of Notice, each Preferred Stockholder may elect to purchase, at the price and on the terms specified in the Notice, up to that portion of such Shares that equals the proportion that the number of shares of Common Stock issued and beneficially held, or issuable upon conversion of the Preferred Stock then held, by such Preferred Stockholder bears to the total number of shares of Common Stock of the Company then outstanding (assuming full conversion and exercise of all </w:t>
      </w:r>
      <w:r w:rsidRPr="00C8720F">
        <w:rPr>
          <w:rFonts w:ascii="Georgia" w:eastAsia="Times New Roman" w:hAnsi="Georgia" w:cs="Arial"/>
          <w:color w:val="333333"/>
          <w:sz w:val="15"/>
          <w:szCs w:val="15"/>
        </w:rPr>
        <w:lastRenderedPageBreak/>
        <w:t>convertible and exercisable securities then outstanding (other than the Lender Series F Warrant if the Lender Series F Warrant is not then exercisable)). The Company shall promptly, in writing, inform each Preferred Stockholder that elects to purchase all the shares available to it (a "</w:t>
      </w:r>
      <w:r w:rsidRPr="00C8720F">
        <w:rPr>
          <w:rFonts w:ascii="Georgia" w:eastAsia="Times New Roman" w:hAnsi="Georgia" w:cs="Arial"/>
          <w:color w:val="333333"/>
          <w:sz w:val="15"/>
          <w:szCs w:val="15"/>
          <w:u w:val="single"/>
        </w:rPr>
        <w:t>Fully-Exercising Preferred Stockholder</w:t>
      </w:r>
      <w:r w:rsidRPr="00C8720F">
        <w:rPr>
          <w:rFonts w:ascii="Georgia" w:eastAsia="Times New Roman" w:hAnsi="Georgia" w:cs="Arial"/>
          <w:color w:val="333333"/>
          <w:sz w:val="15"/>
          <w:szCs w:val="15"/>
        </w:rPr>
        <w:t>") of any other Preferred Stockholder's failure to do likewise. During the ten-day period commencing after such information is given, each Fully-Exercising Preferred Stockholder may elect to purchase that portion of the Shares for which Stockholders were entitled to subscribe, but which were not subscribed for by the Preferred Stockholders, that is equal to the proportion that the number of shares of Common Stock issued and beneficially held, or issuable upon conversion of the Preferred Stock then held, by such Fully-Exercising Preferred Stockholder bears to the total number of shares of Common Stock issued and beneficially held, or issuable upon conversion of the Preferred Stock then held, by all Fully-Exercising Preferred Stockholders who wish to purchase some of the unsubscribed shares.</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 If all Shares that Preferred Stockholders are entitled to obtain pursuant to subsection 2.4(b) are not elected to be obtained as provided in subsection 2.4(b) hereof, the Company may, during the 90 day period following the expiration of the period provided in subsection 2.4(b) hereof, offer the remaining unsubscribed portion of such Shares to any person or persons at a price not less than that, and upon terms no more favorable to the </w:t>
      </w:r>
      <w:proofErr w:type="spellStart"/>
      <w:r w:rsidRPr="00C8720F">
        <w:rPr>
          <w:rFonts w:ascii="Georgia" w:eastAsia="Times New Roman" w:hAnsi="Georgia" w:cs="Arial"/>
          <w:color w:val="333333"/>
          <w:sz w:val="15"/>
          <w:szCs w:val="15"/>
        </w:rPr>
        <w:t>offeree</w:t>
      </w:r>
      <w:proofErr w:type="spellEnd"/>
      <w:r w:rsidRPr="00C8720F">
        <w:rPr>
          <w:rFonts w:ascii="Georgia" w:eastAsia="Times New Roman" w:hAnsi="Georgia" w:cs="Arial"/>
          <w:color w:val="333333"/>
          <w:sz w:val="15"/>
          <w:szCs w:val="15"/>
        </w:rPr>
        <w:t xml:space="preserve"> than those, specified in the Notice. If the Company does not enter into an agreement for the sale of the Shares within such period, or if such agreement is not consummated within 60 days of the execution thereof, the right provided hereunder shall be deemed to be revived and such Shares shall not be offered unless first reoffered to the Preferred Stockholders in accordance herewith.</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(d) The right of first offer in this Section 2.4 shall not be applicable to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xml:space="preserve">) the issuance or sale of shares of Common Stock (or options </w:t>
      </w:r>
      <w:proofErr w:type="spellStart"/>
      <w:r w:rsidRPr="00C8720F">
        <w:rPr>
          <w:rFonts w:ascii="Georgia" w:eastAsia="Times New Roman" w:hAnsi="Georgia" w:cs="Arial"/>
          <w:color w:val="333333"/>
          <w:sz w:val="15"/>
          <w:szCs w:val="15"/>
        </w:rPr>
        <w:t>therefor</w:t>
      </w:r>
      <w:proofErr w:type="spellEnd"/>
      <w:r w:rsidRPr="00C8720F">
        <w:rPr>
          <w:rFonts w:ascii="Georgia" w:eastAsia="Times New Roman" w:hAnsi="Georgia" w:cs="Arial"/>
          <w:color w:val="333333"/>
          <w:sz w:val="15"/>
          <w:szCs w:val="15"/>
        </w:rPr>
        <w:t>) to employees, directors, consultants and other service providers for the primary purpose of soliciting or retaining their services pursuant to plans or agreements approved by the Board, (ii) the issuance of securities pursuant to the conversion of Preferred Stock and upon the conversion or exercise of convertible or exercisable securities outstanding as of the date hereof, (iii) the issuance of securities in connection with a bona fide business acquisition of or by the Company, whether by merger, consolidation, sale of assets, sale or exchange of stock or otherwise, (iv) the issuance of</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18</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2" style="width:468pt;height:2.25pt" o:hralign="center" o:hrstd="t" o:hrnoshade="t" o:hr="t" fillcolor="#999" stroked="f"/>
        </w:pic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securities in connection with any stock split, stock dividend, recapitalization or similar event, (v) the issuance of securities to lease companies, real estate </w:t>
      </w:r>
      <w:proofErr w:type="spellStart"/>
      <w:r w:rsidRPr="00C8720F">
        <w:rPr>
          <w:rFonts w:ascii="Georgia" w:eastAsia="Times New Roman" w:hAnsi="Georgia" w:cs="Arial"/>
          <w:color w:val="333333"/>
          <w:sz w:val="15"/>
          <w:szCs w:val="15"/>
        </w:rPr>
        <w:t>lessors</w:t>
      </w:r>
      <w:proofErr w:type="spellEnd"/>
      <w:r w:rsidRPr="00C8720F">
        <w:rPr>
          <w:rFonts w:ascii="Georgia" w:eastAsia="Times New Roman" w:hAnsi="Georgia" w:cs="Arial"/>
          <w:color w:val="333333"/>
          <w:sz w:val="15"/>
          <w:szCs w:val="15"/>
        </w:rPr>
        <w:t xml:space="preserve">, venture lenders, manufacturing facility lenders, banks or financial institutions in connection with commercial credit arrangements, venture loans, facility financings, equipment financings, leases or similar transactions, provided such issuances are for other than primarily equity financing purposes, and in each case, has been approved by the Board, (vi) the issuance or sale of up to 303,580 shares of Common Stock, as adjusted for any stock dividends, combinations, splits, recapitalizations or the like on, of or affecting such Common Stock, to </w:t>
      </w:r>
      <w:proofErr w:type="spellStart"/>
      <w:r w:rsidRPr="00C8720F">
        <w:rPr>
          <w:rFonts w:ascii="Georgia" w:eastAsia="Times New Roman" w:hAnsi="Georgia" w:cs="Arial"/>
          <w:color w:val="333333"/>
          <w:sz w:val="15"/>
          <w:szCs w:val="15"/>
        </w:rPr>
        <w:t>RockPort</w:t>
      </w:r>
      <w:proofErr w:type="spellEnd"/>
      <w:r w:rsidRPr="00C8720F">
        <w:rPr>
          <w:rFonts w:ascii="Georgia" w:eastAsia="Times New Roman" w:hAnsi="Georgia" w:cs="Arial"/>
          <w:color w:val="333333"/>
          <w:sz w:val="15"/>
          <w:szCs w:val="15"/>
        </w:rPr>
        <w:t xml:space="preserve"> Capital Partners II, L.P. pursuant to that certain option agreement dated as of November 30, 2006, (vii) the issuance of Series F Stock (and the subsequent issuance of Common Stock upon conversion of Series F Stock) pursuant to the Series F Agreement, (viii) the issuance of the Warrants, or (viii) the issuance of Warrant Stock upon exercise of the Warrants. In addition to the foregoing, the right of first offer in this Section 2.4 shall not be applicable with respect to any Preferred Stockholder in any subsequent offering of Shares if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at the time of such offering, the Preferred Stockholder is not an "accredited investor," as that term is then defined in Rule 501(a) of the Act and (ii) such offering of Shares is otherwise being offered only to accredited investors.</w:t>
      </w:r>
    </w:p>
    <w:p w:rsidR="00096BC1" w:rsidRPr="00C8720F" w:rsidRDefault="00096BC1" w:rsidP="00C8720F">
      <w:pPr>
        <w:shd w:val="clear" w:color="auto" w:fill="FFFFFF"/>
        <w:spacing w:before="180" w:after="0" w:line="240" w:lineRule="auto"/>
        <w:ind w:right="2520" w:firstLine="1591"/>
        <w:rPr>
          <w:rFonts w:ascii="Georgia" w:eastAsia="Times New Roman" w:hAnsi="Georgia" w:cs="Arial"/>
          <w:color w:val="333333"/>
          <w:sz w:val="15"/>
          <w:szCs w:val="15"/>
        </w:rPr>
      </w:pPr>
      <w:r w:rsidRPr="00C8720F">
        <w:rPr>
          <w:rFonts w:ascii="Georgia" w:eastAsia="Times New Roman" w:hAnsi="Georgia" w:cs="Arial"/>
          <w:color w:val="333333"/>
          <w:sz w:val="15"/>
          <w:szCs w:val="15"/>
        </w:rPr>
        <w:t>(e) The rights provided in this Section 2.4 may not be assigned or transferred by any Preferred Stockholder; </w:t>
      </w:r>
      <w:r w:rsidRPr="00C8720F">
        <w:rPr>
          <w:rFonts w:ascii="Georgia" w:eastAsia="Times New Roman" w:hAnsi="Georgia" w:cs="Arial"/>
          <w:color w:val="333333"/>
          <w:sz w:val="15"/>
          <w:szCs w:val="15"/>
          <w:u w:val="single"/>
        </w:rPr>
        <w:t>provided</w:t>
      </w:r>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however</w:t>
      </w:r>
      <w:r w:rsidRPr="00C8720F">
        <w:rPr>
          <w:rFonts w:ascii="Georgia" w:eastAsia="Times New Roman" w:hAnsi="Georgia" w:cs="Arial"/>
          <w:color w:val="333333"/>
          <w:sz w:val="15"/>
          <w:szCs w:val="15"/>
        </w:rPr>
        <w:t>, that a Preferred Stockholder that is a venture capital fund or investment fund may assign or transfer such rights to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a subsidiary, parent, general or limited partner, member or stockholder of such Preferred Stockholder or an investment entity in which such Preferred Stockholder is a member or a limited or general partner, or (ii) a venture capital fund or investment fund that is controlled by or under common control with one or more general partners or managing members of such Preferred Stockholder.</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2.5 </w:t>
      </w:r>
      <w:r w:rsidRPr="00C8720F">
        <w:rPr>
          <w:rFonts w:ascii="Georgia" w:eastAsia="Times New Roman" w:hAnsi="Georgia" w:cs="Arial"/>
          <w:color w:val="333333"/>
          <w:sz w:val="15"/>
          <w:szCs w:val="15"/>
          <w:u w:val="single"/>
        </w:rPr>
        <w:t>Proprietary Information and Inventions Agreements</w:t>
      </w:r>
      <w:r w:rsidRPr="00C8720F">
        <w:rPr>
          <w:rFonts w:ascii="Georgia" w:eastAsia="Times New Roman" w:hAnsi="Georgia" w:cs="Arial"/>
          <w:color w:val="333333"/>
          <w:sz w:val="15"/>
          <w:szCs w:val="15"/>
        </w:rPr>
        <w:t xml:space="preserve">. The Company shall require all of its </w:t>
      </w:r>
      <w:proofErr w:type="gramStart"/>
      <w:r w:rsidRPr="00C8720F">
        <w:rPr>
          <w:rFonts w:ascii="Georgia" w:eastAsia="Times New Roman" w:hAnsi="Georgia" w:cs="Arial"/>
          <w:color w:val="333333"/>
          <w:sz w:val="15"/>
          <w:szCs w:val="15"/>
        </w:rPr>
        <w:t>employees,</w:t>
      </w:r>
      <w:proofErr w:type="gramEnd"/>
      <w:r w:rsidRPr="00C8720F">
        <w:rPr>
          <w:rFonts w:ascii="Georgia" w:eastAsia="Times New Roman" w:hAnsi="Georgia" w:cs="Arial"/>
          <w:color w:val="333333"/>
          <w:sz w:val="15"/>
          <w:szCs w:val="15"/>
        </w:rPr>
        <w:t xml:space="preserve"> and all of its consultants with access to confidential information of the Company, to execute and deliver a Proprietary Information and Inventions Agreement or Consulting Agreement in substantially the form approved by the Chief Executive Officer of the Company.</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2.6 </w:t>
      </w:r>
      <w:r w:rsidRPr="00C8720F">
        <w:rPr>
          <w:rFonts w:ascii="Georgia" w:eastAsia="Times New Roman" w:hAnsi="Georgia" w:cs="Arial"/>
          <w:color w:val="333333"/>
          <w:sz w:val="15"/>
          <w:szCs w:val="15"/>
          <w:u w:val="single"/>
        </w:rPr>
        <w:t>Employee Agreements</w:t>
      </w:r>
      <w:r w:rsidRPr="00C8720F">
        <w:rPr>
          <w:rFonts w:ascii="Georgia" w:eastAsia="Times New Roman" w:hAnsi="Georgia" w:cs="Arial"/>
          <w:color w:val="333333"/>
          <w:sz w:val="15"/>
          <w:szCs w:val="15"/>
        </w:rPr>
        <w:t>. Unless otherwise approved by the Board (including such approvals by the Compensation Committee of the Board acting pursuant to authority delegated by the Board), all future employees of the Company who shall purchase, or receive options to purchase, shares of the Company's Common Stock following the date hereof shall be required to execute stock purchase or option agreements providing for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vesting of shares over a four-year period with no more than the first 25% of such shares vesting following 12 months of continued employment or services, and the remaining shares vesting in equal monthly installments over the following 36 months thereafter and (ii) a lock-up period in connection with the Company's initial public offering consistent with Section 1.13 herein. The Company shall retain a right of first refusal on transfers of the Company's Common Stock (other than Common Stock issued or issuable upon conversion of the Company's Preferred Stock) until the Company's initial public offering and the right to repurchase unvested shares at cost.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2.7 </w:t>
      </w:r>
      <w:r w:rsidRPr="00C8720F">
        <w:rPr>
          <w:rFonts w:ascii="Georgia" w:eastAsia="Times New Roman" w:hAnsi="Georgia" w:cs="Arial"/>
          <w:color w:val="333333"/>
          <w:sz w:val="15"/>
          <w:szCs w:val="15"/>
          <w:u w:val="single"/>
        </w:rPr>
        <w:t>Insurance</w:t>
      </w:r>
      <w:r w:rsidRPr="00C8720F">
        <w:rPr>
          <w:rFonts w:ascii="Georgia" w:eastAsia="Times New Roman" w:hAnsi="Georgia" w:cs="Arial"/>
          <w:color w:val="333333"/>
          <w:sz w:val="15"/>
          <w:szCs w:val="15"/>
        </w:rPr>
        <w:t xml:space="preserve">. The Company shall maintain term "key-person" insurance on Christian </w:t>
      </w:r>
      <w:proofErr w:type="spellStart"/>
      <w:r w:rsidRPr="00C8720F">
        <w:rPr>
          <w:rFonts w:ascii="Georgia" w:eastAsia="Times New Roman" w:hAnsi="Georgia" w:cs="Arial"/>
          <w:color w:val="333333"/>
          <w:sz w:val="15"/>
          <w:szCs w:val="15"/>
        </w:rPr>
        <w:t>Gronet</w:t>
      </w:r>
      <w:proofErr w:type="spellEnd"/>
      <w:r w:rsidRPr="00C8720F">
        <w:rPr>
          <w:rFonts w:ascii="Georgia" w:eastAsia="Times New Roman" w:hAnsi="Georgia" w:cs="Arial"/>
          <w:color w:val="333333"/>
          <w:sz w:val="15"/>
          <w:szCs w:val="15"/>
        </w:rPr>
        <w:t xml:space="preserve"> from one or more financially sound and reputable insurers in the amount of $1,000,000 until such time as the Board determines that such insurance should be discontinued.</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19</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3" style="width:468pt;height:2.25pt" o:hralign="center" o:hrstd="t" o:hrnoshade="t" o:hr="t" fillcolor="#999" stroked="f"/>
        </w:pic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The "key person" policy shall name the Company as loss payee and such policy shall not be cancelable by the Company without prior approval of the Board. In addition, the Company shall maintain Directors and Officers Errors and Omissions insurance from financially sound and reputable insurers in an aggregate amount of at least $2,000,000 until such time as the Board determines that such insurance should be discontinued. Such policy shall not be cancelable by the Company without prior approval of the Board.</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2.8 </w:t>
      </w:r>
      <w:r w:rsidRPr="00C8720F">
        <w:rPr>
          <w:rFonts w:ascii="Georgia" w:eastAsia="Times New Roman" w:hAnsi="Georgia" w:cs="Arial"/>
          <w:color w:val="333333"/>
          <w:sz w:val="15"/>
          <w:szCs w:val="15"/>
          <w:u w:val="single"/>
        </w:rPr>
        <w:t>Special Relationships</w:t>
      </w:r>
      <w:r w:rsidRPr="00C8720F">
        <w:rPr>
          <w:rFonts w:ascii="Georgia" w:eastAsia="Times New Roman" w:hAnsi="Georgia" w:cs="Arial"/>
          <w:color w:val="333333"/>
          <w:sz w:val="15"/>
          <w:szCs w:val="15"/>
        </w:rPr>
        <w:t>. Without the prior unanimous approval of the Board, the Company shall not make an offer or decision to hire any individual who is a family member of an officer of the Company.</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2.9 </w:t>
      </w:r>
      <w:r w:rsidRPr="00C8720F">
        <w:rPr>
          <w:rFonts w:ascii="Georgia" w:eastAsia="Times New Roman" w:hAnsi="Georgia" w:cs="Arial"/>
          <w:color w:val="333333"/>
          <w:sz w:val="15"/>
          <w:szCs w:val="15"/>
          <w:u w:val="single"/>
        </w:rPr>
        <w:t>Key Employee Addresses</w:t>
      </w:r>
      <w:r w:rsidRPr="00C8720F">
        <w:rPr>
          <w:rFonts w:ascii="Georgia" w:eastAsia="Times New Roman" w:hAnsi="Georgia" w:cs="Arial"/>
          <w:color w:val="333333"/>
          <w:sz w:val="15"/>
          <w:szCs w:val="15"/>
        </w:rPr>
        <w:t>. If the Company currently knows or subsequently learns that any officer of the Company has his or her principal place of residence in a location further than 40 miles from the headquarters of the Company, the Company shall promptly thereafter inform the Investors of such fact.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2.10 </w:t>
      </w:r>
      <w:r w:rsidRPr="00C8720F">
        <w:rPr>
          <w:rFonts w:ascii="Georgia" w:eastAsia="Times New Roman" w:hAnsi="Georgia" w:cs="Arial"/>
          <w:color w:val="333333"/>
          <w:sz w:val="15"/>
          <w:szCs w:val="15"/>
          <w:u w:val="single"/>
        </w:rPr>
        <w:t>Termination of Certain Covenants</w:t>
      </w:r>
      <w:r w:rsidRPr="00C8720F">
        <w:rPr>
          <w:rFonts w:ascii="Georgia" w:eastAsia="Times New Roman" w:hAnsi="Georgia" w:cs="Arial"/>
          <w:color w:val="333333"/>
          <w:sz w:val="15"/>
          <w:szCs w:val="15"/>
        </w:rPr>
        <w:t>. The covenants set forth in Section 2.4 shall terminate and be of no further force or effect immediately prior to the consummation of a Qualified IPO. The covenants set forth in Sections 2.5, 2.6, 2.7, 2.8 and 2.9 shall terminate and be of no further force or effect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immediately prior to the consummation of a Qualified IPO or (ii) immediately prior to the actual or deemed liquidation, dissolution or winding up of the Company under the Company's Eighth Amended and Restated Certificate of Incorporation (as maybe amended and/or restated from time to time).</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2.11 </w:t>
      </w:r>
      <w:r w:rsidRPr="00C8720F">
        <w:rPr>
          <w:rFonts w:ascii="Georgia" w:eastAsia="Times New Roman" w:hAnsi="Georgia" w:cs="Arial"/>
          <w:color w:val="333333"/>
          <w:sz w:val="15"/>
          <w:szCs w:val="15"/>
          <w:u w:val="single"/>
        </w:rPr>
        <w:t>KKR Financial Corp. Observer Rights</w:t>
      </w:r>
      <w:r w:rsidRPr="00C8720F">
        <w:rPr>
          <w:rFonts w:ascii="Georgia" w:eastAsia="Times New Roman" w:hAnsi="Georgia" w:cs="Arial"/>
          <w:color w:val="333333"/>
          <w:sz w:val="15"/>
          <w:szCs w:val="15"/>
        </w:rPr>
        <w:t>. Until consummation of a Qualified IPO, KKR Financial Corp. ("</w:t>
      </w:r>
      <w:r w:rsidRPr="00C8720F">
        <w:rPr>
          <w:rFonts w:ascii="Georgia" w:eastAsia="Times New Roman" w:hAnsi="Georgia" w:cs="Arial"/>
          <w:color w:val="333333"/>
          <w:sz w:val="15"/>
          <w:szCs w:val="15"/>
          <w:u w:val="single"/>
        </w:rPr>
        <w:t>KKR</w:t>
      </w:r>
      <w:r w:rsidRPr="00C8720F">
        <w:rPr>
          <w:rFonts w:ascii="Georgia" w:eastAsia="Times New Roman" w:hAnsi="Georgia" w:cs="Arial"/>
          <w:color w:val="333333"/>
          <w:sz w:val="15"/>
          <w:szCs w:val="15"/>
        </w:rPr>
        <w:t>"), subject to the qualifications below, shall have the right, on behalf of itself and its affiliates, to send a representative, who shall be mutually agreed upon by the Company and KKR, (without voting rights) to each meeting (including telephonic meetings) of the Board. Subject to the provisions of the proviso below, the Company shall give KKR notice of each such meeting (including telephonic meetings) in the form and manner such notice is given to the Company's directors and the same materials as and when provided to the Company's directors. The Company agrees to provide KKR with copies of all actions by written consent as soon as reasonably practicable upon effectuation of such action. Such representative shall agree to hold in confidence and trust and to act in a fiduciary manner with respect to all information so provided to the same extent as would be applicable to such representative if such representative were a member of the Board; and, provided, notwithstanding the foregoing, the Company shall have the right to withhold any information and to exclude such representative from any meeting or portion thereof if access to such information or attendance at such meeting, or portion thereof, would be likely to, in the judgment of the Company's counsel, adversely affect the Company's right or ability to assert the attorney-client privilege between the Company and its counsel regarding such information or the matters discussed at such meeting or portion thereof. The Company further agrees to reimburse KKR for all reasonable expenses related to its observer rights set forth above.</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20</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4"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3. </w:t>
      </w:r>
      <w:r w:rsidRPr="00C8720F">
        <w:rPr>
          <w:rFonts w:ascii="Georgia" w:eastAsia="Times New Roman" w:hAnsi="Georgia" w:cs="Arial"/>
          <w:color w:val="333333"/>
          <w:sz w:val="15"/>
          <w:szCs w:val="15"/>
          <w:u w:val="single"/>
        </w:rPr>
        <w:t>Miscellaneous</w:t>
      </w:r>
      <w:r w:rsidRPr="00C8720F">
        <w:rPr>
          <w:rFonts w:ascii="Georgia" w:eastAsia="Times New Roman" w:hAnsi="Georgia" w:cs="Arial"/>
          <w:color w:val="333333"/>
          <w:sz w:val="15"/>
          <w:szCs w:val="15"/>
        </w:rPr>
        <w:t>.</w:t>
      </w:r>
    </w:p>
    <w:p w:rsidR="00096BC1" w:rsidRPr="00C8720F" w:rsidRDefault="00096BC1" w:rsidP="00C8720F">
      <w:pPr>
        <w:shd w:val="clear" w:color="auto" w:fill="FFFFFF"/>
        <w:spacing w:before="9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3.1 </w:t>
      </w:r>
      <w:r w:rsidRPr="00C8720F">
        <w:rPr>
          <w:rFonts w:ascii="Georgia" w:eastAsia="Times New Roman" w:hAnsi="Georgia" w:cs="Arial"/>
          <w:color w:val="333333"/>
          <w:sz w:val="15"/>
          <w:szCs w:val="15"/>
          <w:u w:val="single"/>
        </w:rPr>
        <w:t>Successors and Assigns</w:t>
      </w:r>
      <w:r w:rsidRPr="00C8720F">
        <w:rPr>
          <w:rFonts w:ascii="Georgia" w:eastAsia="Times New Roman" w:hAnsi="Georgia" w:cs="Arial"/>
          <w:color w:val="333333"/>
          <w:sz w:val="15"/>
          <w:szCs w:val="15"/>
        </w:rPr>
        <w:t xml:space="preserve">. </w:t>
      </w:r>
      <w:proofErr w:type="gramStart"/>
      <w:r w:rsidRPr="00C8720F">
        <w:rPr>
          <w:rFonts w:ascii="Georgia" w:eastAsia="Times New Roman" w:hAnsi="Georgia" w:cs="Arial"/>
          <w:color w:val="333333"/>
          <w:sz w:val="15"/>
          <w:szCs w:val="15"/>
        </w:rPr>
        <w:t xml:space="preserve">Except as otherwise provided herein, the terms and conditions of this Agreement shall inure to the benefit of and be binding upon the respective successors and assigns of the parties (including transferees of any shares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w:t>
      </w:r>
      <w:proofErr w:type="gramEnd"/>
      <w:r w:rsidRPr="00C8720F">
        <w:rPr>
          <w:rFonts w:ascii="Georgia" w:eastAsia="Times New Roman" w:hAnsi="Georgia" w:cs="Arial"/>
          <w:color w:val="333333"/>
          <w:sz w:val="15"/>
          <w:szCs w:val="15"/>
        </w:rPr>
        <w:t xml:space="preserve">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3.2 </w:t>
      </w:r>
      <w:r w:rsidRPr="00C8720F">
        <w:rPr>
          <w:rFonts w:ascii="Georgia" w:eastAsia="Times New Roman" w:hAnsi="Georgia" w:cs="Arial"/>
          <w:color w:val="333333"/>
          <w:sz w:val="15"/>
          <w:szCs w:val="15"/>
          <w:u w:val="single"/>
        </w:rPr>
        <w:t>Governing Law</w:t>
      </w:r>
      <w:r w:rsidRPr="00C8720F">
        <w:rPr>
          <w:rFonts w:ascii="Georgia" w:eastAsia="Times New Roman" w:hAnsi="Georgia" w:cs="Arial"/>
          <w:color w:val="333333"/>
          <w:sz w:val="15"/>
          <w:szCs w:val="15"/>
        </w:rPr>
        <w:t>. This Agreement shall be governed by and construed under the laws of the State of Delaware, without regard to principles of conflicts of law.</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3.3 </w:t>
      </w:r>
      <w:r w:rsidRPr="00C8720F">
        <w:rPr>
          <w:rFonts w:ascii="Georgia" w:eastAsia="Times New Roman" w:hAnsi="Georgia" w:cs="Arial"/>
          <w:color w:val="333333"/>
          <w:sz w:val="15"/>
          <w:szCs w:val="15"/>
          <w:u w:val="single"/>
        </w:rPr>
        <w:t>Counterparts</w:t>
      </w:r>
      <w:r w:rsidRPr="00C8720F">
        <w:rPr>
          <w:rFonts w:ascii="Georgia" w:eastAsia="Times New Roman" w:hAnsi="Georgia" w:cs="Arial"/>
          <w:color w:val="333333"/>
          <w:sz w:val="15"/>
          <w:szCs w:val="15"/>
        </w:rPr>
        <w:t>. This Agreement may be executed in two or more counterparts, each of which shall be deemed an original, but all of which together shall constitute one and the same instrument.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3.4 </w:t>
      </w:r>
      <w:r w:rsidRPr="00C8720F">
        <w:rPr>
          <w:rFonts w:ascii="Georgia" w:eastAsia="Times New Roman" w:hAnsi="Georgia" w:cs="Arial"/>
          <w:color w:val="333333"/>
          <w:sz w:val="15"/>
          <w:szCs w:val="15"/>
          <w:u w:val="single"/>
        </w:rPr>
        <w:t>Titles and Subtitles</w:t>
      </w:r>
      <w:r w:rsidRPr="00C8720F">
        <w:rPr>
          <w:rFonts w:ascii="Georgia" w:eastAsia="Times New Roman" w:hAnsi="Georgia" w:cs="Arial"/>
          <w:color w:val="333333"/>
          <w:sz w:val="15"/>
          <w:szCs w:val="15"/>
        </w:rPr>
        <w:t>. The titles and subtitles used in this Agreement are used for convenience only and are not to be considered in construing or interpreting this Agreement.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3.5 </w:t>
      </w:r>
      <w:r w:rsidRPr="00C8720F">
        <w:rPr>
          <w:rFonts w:ascii="Georgia" w:eastAsia="Times New Roman" w:hAnsi="Georgia" w:cs="Arial"/>
          <w:color w:val="333333"/>
          <w:sz w:val="15"/>
          <w:szCs w:val="15"/>
          <w:u w:val="single"/>
        </w:rPr>
        <w:t>Notices</w:t>
      </w:r>
      <w:r w:rsidRPr="00C8720F">
        <w:rPr>
          <w:rFonts w:ascii="Georgia" w:eastAsia="Times New Roman" w:hAnsi="Georgia" w:cs="Arial"/>
          <w:color w:val="333333"/>
          <w:sz w:val="15"/>
          <w:szCs w:val="15"/>
        </w:rPr>
        <w:t>. All notices and other communications given or made pursuant hereto shall be in writing and shall be deemed effectively given: (</w:t>
      </w:r>
      <w:proofErr w:type="spellStart"/>
      <w:r w:rsidRPr="00C8720F">
        <w:rPr>
          <w:rFonts w:ascii="Georgia" w:eastAsia="Times New Roman" w:hAnsi="Georgia" w:cs="Arial"/>
          <w:color w:val="333333"/>
          <w:sz w:val="15"/>
          <w:szCs w:val="15"/>
        </w:rPr>
        <w:t>i</w:t>
      </w:r>
      <w:proofErr w:type="spellEnd"/>
      <w:r w:rsidRPr="00C8720F">
        <w:rPr>
          <w:rFonts w:ascii="Georgia" w:eastAsia="Times New Roman" w:hAnsi="Georgia" w:cs="Arial"/>
          <w:color w:val="333333"/>
          <w:sz w:val="15"/>
          <w:szCs w:val="15"/>
        </w:rPr>
        <w:t xml:space="preserve">) upon personal delivery to the party to be notified, (ii) when sent by confirmed facsimile if sent during normal business hours of the recipient; if not, then on the next business day, (iii) five days after having been sent by registered or certified mail, return receipt requested, postage prepaid, or (iv) one day after deposit with a nationally recognized overnight courier, specifying next day delivery, with written verification of receipt. All communications </w:t>
      </w:r>
      <w:r w:rsidRPr="00C8720F">
        <w:rPr>
          <w:rFonts w:ascii="Georgia" w:eastAsia="Times New Roman" w:hAnsi="Georgia" w:cs="Arial"/>
          <w:color w:val="333333"/>
          <w:sz w:val="15"/>
          <w:szCs w:val="15"/>
        </w:rPr>
        <w:lastRenderedPageBreak/>
        <w:t>shall be sent to the respective parties at the addresses set forth on </w:t>
      </w:r>
      <w:r w:rsidRPr="00C8720F">
        <w:rPr>
          <w:rFonts w:ascii="Georgia" w:eastAsia="Times New Roman" w:hAnsi="Georgia" w:cs="Arial"/>
          <w:color w:val="333333"/>
          <w:sz w:val="15"/>
          <w:szCs w:val="15"/>
          <w:u w:val="single"/>
        </w:rPr>
        <w:t>Schedule A</w:t>
      </w:r>
      <w:r w:rsidRPr="00C8720F">
        <w:rPr>
          <w:rFonts w:ascii="Georgia" w:eastAsia="Times New Roman" w:hAnsi="Georgia" w:cs="Arial"/>
          <w:color w:val="333333"/>
          <w:sz w:val="15"/>
          <w:szCs w:val="15"/>
        </w:rPr>
        <w:t> hereto, </w:t>
      </w:r>
      <w:r w:rsidRPr="00C8720F">
        <w:rPr>
          <w:rFonts w:ascii="Georgia" w:eastAsia="Times New Roman" w:hAnsi="Georgia" w:cs="Arial"/>
          <w:color w:val="333333"/>
          <w:sz w:val="15"/>
          <w:szCs w:val="15"/>
          <w:u w:val="single"/>
        </w:rPr>
        <w:t xml:space="preserve">Schedule </w:t>
      </w:r>
      <w:proofErr w:type="spellStart"/>
      <w:r w:rsidRPr="00C8720F">
        <w:rPr>
          <w:rFonts w:ascii="Georgia" w:eastAsia="Times New Roman" w:hAnsi="Georgia" w:cs="Arial"/>
          <w:color w:val="333333"/>
          <w:sz w:val="15"/>
          <w:szCs w:val="15"/>
          <w:u w:val="single"/>
        </w:rPr>
        <w:t>B</w:t>
      </w:r>
      <w:r w:rsidRPr="00C8720F">
        <w:rPr>
          <w:rFonts w:ascii="Georgia" w:eastAsia="Times New Roman" w:hAnsi="Georgia" w:cs="Arial"/>
          <w:color w:val="333333"/>
          <w:sz w:val="15"/>
          <w:szCs w:val="15"/>
        </w:rPr>
        <w:t>hereto</w:t>
      </w:r>
      <w:proofErr w:type="spellEnd"/>
      <w:r w:rsidRPr="00C8720F">
        <w:rPr>
          <w:rFonts w:ascii="Georgia" w:eastAsia="Times New Roman" w:hAnsi="Georgia" w:cs="Arial"/>
          <w:color w:val="333333"/>
          <w:sz w:val="15"/>
          <w:szCs w:val="15"/>
        </w:rPr>
        <w:t>, </w:t>
      </w:r>
      <w:r w:rsidRPr="00C8720F">
        <w:rPr>
          <w:rFonts w:ascii="Georgia" w:eastAsia="Times New Roman" w:hAnsi="Georgia" w:cs="Arial"/>
          <w:color w:val="333333"/>
          <w:sz w:val="15"/>
          <w:szCs w:val="15"/>
          <w:u w:val="single"/>
        </w:rPr>
        <w:t>Schedule C</w:t>
      </w:r>
      <w:r w:rsidRPr="00C8720F">
        <w:rPr>
          <w:rFonts w:ascii="Georgia" w:eastAsia="Times New Roman" w:hAnsi="Georgia" w:cs="Arial"/>
          <w:color w:val="333333"/>
          <w:sz w:val="15"/>
          <w:szCs w:val="15"/>
        </w:rPr>
        <w:t> hereto, </w:t>
      </w:r>
      <w:r w:rsidRPr="00C8720F">
        <w:rPr>
          <w:rFonts w:ascii="Georgia" w:eastAsia="Times New Roman" w:hAnsi="Georgia" w:cs="Arial"/>
          <w:color w:val="333333"/>
          <w:sz w:val="15"/>
          <w:szCs w:val="15"/>
          <w:u w:val="single"/>
        </w:rPr>
        <w:t>Schedule D</w:t>
      </w:r>
      <w:r w:rsidRPr="00C8720F">
        <w:rPr>
          <w:rFonts w:ascii="Georgia" w:eastAsia="Times New Roman" w:hAnsi="Georgia" w:cs="Arial"/>
          <w:color w:val="333333"/>
          <w:sz w:val="15"/>
          <w:szCs w:val="15"/>
        </w:rPr>
        <w:t> hereto, </w:t>
      </w:r>
      <w:r w:rsidRPr="00C8720F">
        <w:rPr>
          <w:rFonts w:ascii="Georgia" w:eastAsia="Times New Roman" w:hAnsi="Georgia" w:cs="Arial"/>
          <w:color w:val="333333"/>
          <w:sz w:val="15"/>
          <w:szCs w:val="15"/>
          <w:u w:val="single"/>
        </w:rPr>
        <w:t>Schedule E</w:t>
      </w:r>
      <w:r w:rsidRPr="00C8720F">
        <w:rPr>
          <w:rFonts w:ascii="Georgia" w:eastAsia="Times New Roman" w:hAnsi="Georgia" w:cs="Arial"/>
          <w:color w:val="333333"/>
          <w:sz w:val="15"/>
          <w:szCs w:val="15"/>
        </w:rPr>
        <w:t> hereto, </w:t>
      </w:r>
      <w:r w:rsidRPr="00C8720F">
        <w:rPr>
          <w:rFonts w:ascii="Georgia" w:eastAsia="Times New Roman" w:hAnsi="Georgia" w:cs="Arial"/>
          <w:color w:val="333333"/>
          <w:sz w:val="15"/>
          <w:szCs w:val="15"/>
          <w:u w:val="single"/>
        </w:rPr>
        <w:t>Schedule F</w:t>
      </w:r>
      <w:r w:rsidRPr="00C8720F">
        <w:rPr>
          <w:rFonts w:ascii="Georgia" w:eastAsia="Times New Roman" w:hAnsi="Georgia" w:cs="Arial"/>
          <w:color w:val="333333"/>
          <w:sz w:val="15"/>
          <w:szCs w:val="15"/>
        </w:rPr>
        <w:t> hereto, </w:t>
      </w:r>
      <w:r w:rsidRPr="00C8720F">
        <w:rPr>
          <w:rFonts w:ascii="Georgia" w:eastAsia="Times New Roman" w:hAnsi="Georgia" w:cs="Arial"/>
          <w:color w:val="333333"/>
          <w:sz w:val="15"/>
          <w:szCs w:val="15"/>
          <w:u w:val="single"/>
        </w:rPr>
        <w:t>Schedule G</w:t>
      </w:r>
      <w:r w:rsidRPr="00C8720F">
        <w:rPr>
          <w:rFonts w:ascii="Georgia" w:eastAsia="Times New Roman" w:hAnsi="Georgia" w:cs="Arial"/>
          <w:color w:val="333333"/>
          <w:sz w:val="15"/>
          <w:szCs w:val="15"/>
        </w:rPr>
        <w:t> hereto, </w:t>
      </w:r>
      <w:r w:rsidRPr="00C8720F">
        <w:rPr>
          <w:rFonts w:ascii="Georgia" w:eastAsia="Times New Roman" w:hAnsi="Georgia" w:cs="Arial"/>
          <w:color w:val="333333"/>
          <w:sz w:val="15"/>
          <w:szCs w:val="15"/>
          <w:u w:val="single"/>
        </w:rPr>
        <w:t xml:space="preserve">Schedule </w:t>
      </w:r>
      <w:proofErr w:type="spellStart"/>
      <w:r w:rsidRPr="00C8720F">
        <w:rPr>
          <w:rFonts w:ascii="Georgia" w:eastAsia="Times New Roman" w:hAnsi="Georgia" w:cs="Arial"/>
          <w:color w:val="333333"/>
          <w:sz w:val="15"/>
          <w:szCs w:val="15"/>
          <w:u w:val="single"/>
        </w:rPr>
        <w:t>H</w:t>
      </w:r>
      <w:r w:rsidRPr="00C8720F">
        <w:rPr>
          <w:rFonts w:ascii="Georgia" w:eastAsia="Times New Roman" w:hAnsi="Georgia" w:cs="Arial"/>
          <w:color w:val="333333"/>
          <w:sz w:val="15"/>
          <w:szCs w:val="15"/>
        </w:rPr>
        <w:t>hereto</w:t>
      </w:r>
      <w:proofErr w:type="spellEnd"/>
      <w:r w:rsidRPr="00C8720F">
        <w:rPr>
          <w:rFonts w:ascii="Georgia" w:eastAsia="Times New Roman" w:hAnsi="Georgia" w:cs="Arial"/>
          <w:color w:val="333333"/>
          <w:sz w:val="15"/>
          <w:szCs w:val="15"/>
        </w:rPr>
        <w:t>, or </w:t>
      </w:r>
      <w:r w:rsidRPr="00C8720F">
        <w:rPr>
          <w:rFonts w:ascii="Georgia" w:eastAsia="Times New Roman" w:hAnsi="Georgia" w:cs="Arial"/>
          <w:color w:val="333333"/>
          <w:sz w:val="15"/>
          <w:szCs w:val="15"/>
          <w:u w:val="single"/>
        </w:rPr>
        <w:t>Schedule I</w:t>
      </w:r>
      <w:r w:rsidRPr="00C8720F">
        <w:rPr>
          <w:rFonts w:ascii="Georgia" w:eastAsia="Times New Roman" w:hAnsi="Georgia" w:cs="Arial"/>
          <w:color w:val="333333"/>
          <w:sz w:val="15"/>
          <w:szCs w:val="15"/>
        </w:rPr>
        <w:t> hereto as the case may be (or at such other addresses as shall be specified by notice given in accordance with this Section 3.5).</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3.6 </w:t>
      </w:r>
      <w:r w:rsidRPr="00C8720F">
        <w:rPr>
          <w:rFonts w:ascii="Georgia" w:eastAsia="Times New Roman" w:hAnsi="Georgia" w:cs="Arial"/>
          <w:color w:val="333333"/>
          <w:sz w:val="15"/>
          <w:szCs w:val="15"/>
          <w:u w:val="single"/>
        </w:rPr>
        <w:t>Expenses</w:t>
      </w:r>
      <w:r w:rsidRPr="00C8720F">
        <w:rPr>
          <w:rFonts w:ascii="Georgia" w:eastAsia="Times New Roman" w:hAnsi="Georgia" w:cs="Arial"/>
          <w:color w:val="333333"/>
          <w:sz w:val="15"/>
          <w:szCs w:val="15"/>
        </w:rPr>
        <w:t>. If any action at law or in equity is necessary to enforce or interpret the terms of this Agreement, the prevailing party shall be entitled to reasonable attorneys' fees, costs and necessary disbursements in addition to any other relief to which such party may be entitled.</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3.7 </w:t>
      </w:r>
      <w:r w:rsidRPr="00C8720F">
        <w:rPr>
          <w:rFonts w:ascii="Georgia" w:eastAsia="Times New Roman" w:hAnsi="Georgia" w:cs="Arial"/>
          <w:color w:val="333333"/>
          <w:sz w:val="15"/>
          <w:szCs w:val="15"/>
          <w:u w:val="single"/>
        </w:rPr>
        <w:t>Entire Agreement; Amendments and Waivers</w:t>
      </w:r>
      <w:r w:rsidRPr="00C8720F">
        <w:rPr>
          <w:rFonts w:ascii="Georgia" w:eastAsia="Times New Roman" w:hAnsi="Georgia" w:cs="Arial"/>
          <w:color w:val="333333"/>
          <w:sz w:val="15"/>
          <w:szCs w:val="15"/>
        </w:rPr>
        <w:t xml:space="preserve">. This Agreement constitutes the full and entire understanding and agreement among the parties with regard to the subjects hereof and thereof and supersedes any and all prior understandings and agreements, written or oral, between or among the parties hereto with respect to the specific subject matter hereof. Any term of this Agreement may be amended and the observance of any term of this Agreement may be waived (either generally or in a particular instance and either retroactively or prospectively) only with the written consent of the Company and the holders of a majority of the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then outstanding; </w:t>
      </w:r>
      <w:proofErr w:type="spellStart"/>
      <w:r w:rsidRPr="00C8720F">
        <w:rPr>
          <w:rFonts w:ascii="Georgia" w:eastAsia="Times New Roman" w:hAnsi="Georgia" w:cs="Arial"/>
          <w:color w:val="333333"/>
          <w:sz w:val="15"/>
          <w:szCs w:val="15"/>
          <w:u w:val="single"/>
        </w:rPr>
        <w:t>provided</w:t>
      </w:r>
      <w:proofErr w:type="gramStart"/>
      <w:r w:rsidRPr="00C8720F">
        <w:rPr>
          <w:rFonts w:ascii="Georgia" w:eastAsia="Times New Roman" w:hAnsi="Georgia" w:cs="Arial"/>
          <w:color w:val="333333"/>
          <w:sz w:val="15"/>
          <w:szCs w:val="15"/>
        </w:rPr>
        <w:t>,</w:t>
      </w:r>
      <w:r w:rsidRPr="00C8720F">
        <w:rPr>
          <w:rFonts w:ascii="Georgia" w:eastAsia="Times New Roman" w:hAnsi="Georgia" w:cs="Arial"/>
          <w:color w:val="333333"/>
          <w:sz w:val="15"/>
          <w:szCs w:val="15"/>
          <w:u w:val="single"/>
        </w:rPr>
        <w:t>however</w:t>
      </w:r>
      <w:proofErr w:type="spellEnd"/>
      <w:proofErr w:type="gramEnd"/>
      <w:r w:rsidRPr="00C8720F">
        <w:rPr>
          <w:rFonts w:ascii="Georgia" w:eastAsia="Times New Roman" w:hAnsi="Georgia" w:cs="Arial"/>
          <w:color w:val="333333"/>
          <w:sz w:val="15"/>
          <w:szCs w:val="15"/>
        </w:rPr>
        <w:t>, that in the event that such amendment or waiver adversely affects the obligations or rights of any Holder or group of</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21</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5" style="width:468pt;height:2.25pt" o:hralign="center" o:hrstd="t" o:hrnoshade="t" o:hr="t" fillcolor="#999" stroked="f"/>
        </w:pic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Holders (such as the Common Holder(s) or Major Investors) in a manner that is materially different and adverse from the manner in which such amendment or waiver affects the obligations and rights of all other Holders, such amendment or waiver shall also require the written consent of such differently affected Holder or group of Holders. Notwithstanding the foregoing, (a) Section 2.11 shall not be amended without the mutual consent of the Company and KKR, and (b) in the event the Company sells shares of Series F Preferred Stock pursuant to the Series F Agreement to an investor who is not already a party to this Agreement, such investor shall become a party to this Agreement as an "Investor" and a "Holder," without the consent of the other parties hereto, upon the Company's receipt from such investor of an executed counterpart signature page to this Agreement, and </w:t>
      </w:r>
      <w:r w:rsidRPr="00C8720F">
        <w:rPr>
          <w:rFonts w:ascii="Georgia" w:eastAsia="Times New Roman" w:hAnsi="Georgia" w:cs="Arial"/>
          <w:color w:val="333333"/>
          <w:sz w:val="15"/>
          <w:szCs w:val="15"/>
          <w:u w:val="single"/>
        </w:rPr>
        <w:t>Schedule H</w:t>
      </w:r>
      <w:r w:rsidRPr="00C8720F">
        <w:rPr>
          <w:rFonts w:ascii="Georgia" w:eastAsia="Times New Roman" w:hAnsi="Georgia" w:cs="Arial"/>
          <w:color w:val="333333"/>
          <w:sz w:val="15"/>
          <w:szCs w:val="15"/>
        </w:rPr>
        <w:t xml:space="preserve"> hereto may be amended by the Company from time to time to add such additional Investor without the consent of the other parties hereto. Any amendment or waiver </w:t>
      </w:r>
      <w:proofErr w:type="gramStart"/>
      <w:r w:rsidRPr="00C8720F">
        <w:rPr>
          <w:rFonts w:ascii="Georgia" w:eastAsia="Times New Roman" w:hAnsi="Georgia" w:cs="Arial"/>
          <w:color w:val="333333"/>
          <w:sz w:val="15"/>
          <w:szCs w:val="15"/>
        </w:rPr>
        <w:t>effected</w:t>
      </w:r>
      <w:proofErr w:type="gramEnd"/>
      <w:r w:rsidRPr="00C8720F">
        <w:rPr>
          <w:rFonts w:ascii="Georgia" w:eastAsia="Times New Roman" w:hAnsi="Georgia" w:cs="Arial"/>
          <w:color w:val="333333"/>
          <w:sz w:val="15"/>
          <w:szCs w:val="15"/>
        </w:rPr>
        <w:t xml:space="preserve"> in accordance with this paragraph shall be binding upon each holder of any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each future holder of all such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and the Company.</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3.8 </w:t>
      </w:r>
      <w:r w:rsidRPr="00C8720F">
        <w:rPr>
          <w:rFonts w:ascii="Georgia" w:eastAsia="Times New Roman" w:hAnsi="Georgia" w:cs="Arial"/>
          <w:color w:val="333333"/>
          <w:sz w:val="15"/>
          <w:szCs w:val="15"/>
          <w:u w:val="single"/>
        </w:rPr>
        <w:t>Severability</w:t>
      </w:r>
      <w:r w:rsidRPr="00C8720F">
        <w:rPr>
          <w:rFonts w:ascii="Georgia" w:eastAsia="Times New Roman" w:hAnsi="Georgia" w:cs="Arial"/>
          <w:color w:val="333333"/>
          <w:sz w:val="15"/>
          <w:szCs w:val="15"/>
        </w:rPr>
        <w:t>. If one or more provisions of this Agreement are held to be unenforceable under applicable law, such provision(s) shall be excluded from this Agreement and the balance of the Agreement shall be interpreted as if such provision(s) were so excluded and shall be enforceable in accordance with its terms, and the parties shall negotiate, in good faith, a legal and enforceable suitable provision which most nearly effects the parties' intent in entering into this Agreement.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3.9 </w:t>
      </w:r>
      <w:r w:rsidRPr="00C8720F">
        <w:rPr>
          <w:rFonts w:ascii="Georgia" w:eastAsia="Times New Roman" w:hAnsi="Georgia" w:cs="Arial"/>
          <w:color w:val="333333"/>
          <w:sz w:val="15"/>
          <w:szCs w:val="15"/>
          <w:u w:val="single"/>
        </w:rPr>
        <w:t>Aggregation of Stock</w:t>
      </w:r>
      <w:r w:rsidRPr="00C8720F">
        <w:rPr>
          <w:rFonts w:ascii="Georgia" w:eastAsia="Times New Roman" w:hAnsi="Georgia" w:cs="Arial"/>
          <w:color w:val="333333"/>
          <w:sz w:val="15"/>
          <w:szCs w:val="15"/>
        </w:rPr>
        <w:t xml:space="preserve">. All shares of </w:t>
      </w:r>
      <w:proofErr w:type="spellStart"/>
      <w:r w:rsidRPr="00C8720F">
        <w:rPr>
          <w:rFonts w:ascii="Georgia" w:eastAsia="Times New Roman" w:hAnsi="Georgia" w:cs="Arial"/>
          <w:color w:val="333333"/>
          <w:sz w:val="15"/>
          <w:szCs w:val="15"/>
        </w:rPr>
        <w:t>Registrable</w:t>
      </w:r>
      <w:proofErr w:type="spellEnd"/>
      <w:r w:rsidRPr="00C8720F">
        <w:rPr>
          <w:rFonts w:ascii="Georgia" w:eastAsia="Times New Roman" w:hAnsi="Georgia" w:cs="Arial"/>
          <w:color w:val="333333"/>
          <w:sz w:val="15"/>
          <w:szCs w:val="15"/>
        </w:rPr>
        <w:t xml:space="preserve"> Securities held or acquired by affiliated entities (including, without limitation, affiliated venture capital funds and/or investment funds) or persons shall be aggregated together for the purpose of determining the availability of any rights under this Agreement.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3.10 </w:t>
      </w:r>
      <w:r w:rsidRPr="00C8720F">
        <w:rPr>
          <w:rFonts w:ascii="Georgia" w:eastAsia="Times New Roman" w:hAnsi="Georgia" w:cs="Arial"/>
          <w:color w:val="333333"/>
          <w:sz w:val="15"/>
          <w:szCs w:val="15"/>
          <w:u w:val="single"/>
        </w:rPr>
        <w:t>Specific Enforcement</w:t>
      </w:r>
      <w:r w:rsidRPr="00C8720F">
        <w:rPr>
          <w:rFonts w:ascii="Georgia" w:eastAsia="Times New Roman" w:hAnsi="Georgia" w:cs="Arial"/>
          <w:color w:val="333333"/>
          <w:sz w:val="15"/>
          <w:szCs w:val="15"/>
        </w:rPr>
        <w:t>. It is agreed and understood that monetary damages would not adequately compensate an injured party for the breach of this Agreement by any other party, that this Agreement shall be specifically enforceable, and that any breach or threatened breach of this Agreement shall be the proper subject of a temporary or permanent injunction or restraining order. Further, each party hereto waives any claim or defense that there is an adequate remedy at law for such breach or threatened breach.</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3.11 </w:t>
      </w:r>
      <w:r w:rsidRPr="00C8720F">
        <w:rPr>
          <w:rFonts w:ascii="Georgia" w:eastAsia="Times New Roman" w:hAnsi="Georgia" w:cs="Arial"/>
          <w:color w:val="333333"/>
          <w:sz w:val="15"/>
          <w:szCs w:val="15"/>
          <w:u w:val="single"/>
        </w:rPr>
        <w:t>Termination of Sixth Amended Rights Agreement</w:t>
      </w:r>
      <w:r w:rsidRPr="00C8720F">
        <w:rPr>
          <w:rFonts w:ascii="Georgia" w:eastAsia="Times New Roman" w:hAnsi="Georgia" w:cs="Arial"/>
          <w:color w:val="333333"/>
          <w:sz w:val="15"/>
          <w:szCs w:val="15"/>
        </w:rPr>
        <w:t>. The Sixth Amended Rights Agreement is hereby amended and superseded in its entirety and restated by this Agreement. All provisions of, rights granted and covenants made in the Sixth Amended Rights Agreement are hereby waived and released and superseded in their entirety and shall have no further force or effect.</w:t>
      </w:r>
    </w:p>
    <w:p w:rsidR="00096BC1" w:rsidRPr="00C8720F" w:rsidRDefault="00096BC1" w:rsidP="00C8720F">
      <w:pPr>
        <w:shd w:val="clear" w:color="auto" w:fill="FFFFFF"/>
        <w:spacing w:before="180" w:after="0" w:line="240" w:lineRule="auto"/>
        <w:ind w:right="2520" w:firstLine="979"/>
        <w:rPr>
          <w:rFonts w:ascii="Georgia" w:eastAsia="Times New Roman" w:hAnsi="Georgia" w:cs="Arial"/>
          <w:color w:val="333333"/>
          <w:sz w:val="15"/>
          <w:szCs w:val="15"/>
        </w:rPr>
      </w:pPr>
      <w:r w:rsidRPr="00C8720F">
        <w:rPr>
          <w:rFonts w:ascii="Georgia" w:eastAsia="Times New Roman" w:hAnsi="Georgia" w:cs="Arial"/>
          <w:color w:val="333333"/>
          <w:sz w:val="15"/>
          <w:szCs w:val="15"/>
        </w:rPr>
        <w:t>3.12 </w:t>
      </w:r>
      <w:r w:rsidRPr="00C8720F">
        <w:rPr>
          <w:rFonts w:ascii="Georgia" w:eastAsia="Times New Roman" w:hAnsi="Georgia" w:cs="Arial"/>
          <w:color w:val="333333"/>
          <w:sz w:val="15"/>
          <w:szCs w:val="15"/>
          <w:u w:val="single"/>
        </w:rPr>
        <w:t>Termination of Series F Agreement</w:t>
      </w:r>
      <w:r w:rsidRPr="00C8720F">
        <w:rPr>
          <w:rFonts w:ascii="Georgia" w:eastAsia="Times New Roman" w:hAnsi="Georgia" w:cs="Arial"/>
          <w:color w:val="333333"/>
          <w:sz w:val="15"/>
          <w:szCs w:val="15"/>
        </w:rPr>
        <w:t>. If the Series F Agreement terminates prior to Closing (as defined therein) pursuant to the terms thereof, Investors who are not Prior Investors shall be deemed to no longer be a party to this Agreement and shall have no rights hereunder, and the Company and the Prior Investors shall have no obligations hereunder to such Investors.</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i/>
          <w:iCs/>
          <w:color w:val="333333"/>
          <w:sz w:val="15"/>
          <w:szCs w:val="15"/>
        </w:rPr>
        <w:t>[Remainder of Page Intentionally Left Blank]</w:t>
      </w:r>
    </w:p>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color w:val="333333"/>
          <w:sz w:val="15"/>
          <w:szCs w:val="15"/>
        </w:rPr>
        <w:t>22</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6"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94"/>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SOLYNDRA, INC.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W.G. Stover, </w:t>
            </w:r>
            <w:r w:rsidRPr="00C8720F">
              <w:rPr>
                <w:rFonts w:ascii="Georgia" w:eastAsia="Times New Roman" w:hAnsi="Georgia" w:cs="Times New Roman"/>
                <w:sz w:val="15"/>
                <w:szCs w:val="15"/>
              </w:rPr>
              <w:lastRenderedPageBreak/>
              <w:t>Jr.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W.G. Stover, Jr.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Vice President, Finance and</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Chief Financial Officer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7"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257"/>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AMP CAPITAL INVESTORS LTD (ABN 59 001 777 591), AS TRUSTEE FOR THE FUTURE DIRECTIONS PRIVATE EQUITY FUND 1A, BY ITS UNDERSIGNED ATTORNEYS (WHO HAVE NOT RECEIVED NOTICE OF THE REVOCATION OF THE POWER OF ATTORNEY DATED THE 22 DAY OF MARCH 2006 UNDER THE AUTHORITY OF WHICH THIS INSTRUMENT HAS BEEN SIGNED IN SYDNEY THIS 05 DAY OF AUGUST, 2009)</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Prudence Milne</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Prudence Milne</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Executive Legal Counsel</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Andrew Windsor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Andrew Windsor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Operations Manager – Private Equity</w:t>
            </w:r>
          </w:p>
        </w:tc>
      </w:tr>
    </w:tbl>
    <w:p w:rsidR="00096BC1" w:rsidRPr="00C8720F" w:rsidRDefault="00096BC1" w:rsidP="00C8720F">
      <w:pPr>
        <w:shd w:val="clear" w:color="auto" w:fill="FFFFFF"/>
        <w:spacing w:after="0" w:line="240" w:lineRule="auto"/>
        <w:ind w:right="2520"/>
        <w:jc w:val="right"/>
        <w:rPr>
          <w:rFonts w:ascii="Georgia" w:eastAsia="Times New Roman" w:hAnsi="Georgia" w:cs="Arial"/>
          <w:vanish/>
          <w:color w:val="333333"/>
          <w:sz w:val="15"/>
          <w:szCs w:val="15"/>
        </w:rPr>
      </w:pPr>
    </w:p>
    <w:tbl>
      <w:tblPr>
        <w:tblW w:w="2000" w:type="pct"/>
        <w:jc w:val="right"/>
        <w:tblCellSpacing w:w="0" w:type="dxa"/>
        <w:tblCellMar>
          <w:left w:w="0" w:type="dxa"/>
          <w:right w:w="0" w:type="dxa"/>
        </w:tblCellMar>
        <w:tblLook w:val="04A0"/>
      </w:tblPr>
      <w:tblGrid>
        <w:gridCol w:w="3467"/>
        <w:gridCol w:w="2557"/>
        <w:gridCol w:w="3114"/>
      </w:tblGrid>
      <w:tr w:rsidR="00096BC1" w:rsidRPr="00C8720F" w:rsidTr="00096BC1">
        <w:trPr>
          <w:tblCellSpacing w:w="0" w:type="dxa"/>
          <w:jc w:val="right"/>
        </w:trPr>
        <w:tc>
          <w:tcPr>
            <w:tcW w:w="1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3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Witnessed 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w:t>
            </w:r>
            <w:proofErr w:type="spellStart"/>
            <w:r w:rsidRPr="00C8720F">
              <w:rPr>
                <w:rFonts w:ascii="Georgia" w:eastAsia="Times New Roman" w:hAnsi="Georgia" w:cs="Times New Roman"/>
                <w:sz w:val="15"/>
                <w:szCs w:val="15"/>
              </w:rPr>
              <w:t>Jemma</w:t>
            </w:r>
            <w:proofErr w:type="spellEnd"/>
            <w:r w:rsidRPr="00C8720F">
              <w:rPr>
                <w:rFonts w:ascii="Georgia" w:eastAsia="Times New Roman" w:hAnsi="Georgia" w:cs="Times New Roman"/>
                <w:sz w:val="15"/>
                <w:szCs w:val="15"/>
              </w:rPr>
              <w:t xml:space="preserve"> Flannery</w:t>
            </w:r>
          </w:p>
        </w:tc>
      </w:tr>
    </w:tbl>
    <w:p w:rsidR="00096BC1" w:rsidRPr="00C8720F" w:rsidRDefault="00096BC1" w:rsidP="00C8720F">
      <w:pPr>
        <w:shd w:val="clear" w:color="auto" w:fill="FFFFFF"/>
        <w:spacing w:after="0" w:line="240" w:lineRule="auto"/>
        <w:ind w:right="2520"/>
        <w:jc w:val="right"/>
        <w:rPr>
          <w:rFonts w:ascii="Georgia" w:eastAsia="Times New Roman" w:hAnsi="Georgia" w:cs="Arial"/>
          <w:vanish/>
          <w:color w:val="333333"/>
          <w:sz w:val="15"/>
          <w:szCs w:val="15"/>
        </w:rPr>
      </w:pPr>
    </w:p>
    <w:tbl>
      <w:tblPr>
        <w:tblW w:w="2000" w:type="pct"/>
        <w:jc w:val="right"/>
        <w:tblCellSpacing w:w="0" w:type="dxa"/>
        <w:tblCellMar>
          <w:left w:w="0" w:type="dxa"/>
          <w:right w:w="0" w:type="dxa"/>
        </w:tblCellMar>
        <w:tblLook w:val="04A0"/>
      </w:tblPr>
      <w:tblGrid>
        <w:gridCol w:w="2963"/>
        <w:gridCol w:w="2557"/>
        <w:gridCol w:w="3164"/>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Jemma</w:t>
            </w:r>
            <w:proofErr w:type="spellEnd"/>
            <w:r w:rsidRPr="00C8720F">
              <w:rPr>
                <w:rFonts w:ascii="Georgia" w:eastAsia="Times New Roman" w:hAnsi="Georgia" w:cs="Times New Roman"/>
                <w:sz w:val="15"/>
                <w:szCs w:val="15"/>
              </w:rPr>
              <w:t xml:space="preserve"> Flannery</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Executive Assistant</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8"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257"/>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AMP CAPITAL INVESTORS LTD (ABN 59 001 777 591), AS TRUSTEE FOR THE FUTURE DIRECTIONS PRIVATE EQUITY FUND 1B, BY ITS UNDERSIGNED ATTORNEYS (WHO HAVE NOT RECEIVED NOTICE OF THE REVOCATION OF THE POWER OF ATTORNEY DATED THE 22 DAY OF MARCH 2006 UNDER THE AUTHORITY OF WHICH THIS INSTRUMENT HAS BEEN SIGNED IN SYDNEY THIS 05 DAY OF AUGUST, 2009)</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Prudence Milne</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Prudence Milne</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Executive Legal Counsel</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Andrew Windsor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Andrew Windsor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Operations Manager – Private Equity</w:t>
            </w:r>
          </w:p>
        </w:tc>
      </w:tr>
    </w:tbl>
    <w:p w:rsidR="00096BC1" w:rsidRPr="00C8720F" w:rsidRDefault="00096BC1" w:rsidP="00C8720F">
      <w:pPr>
        <w:shd w:val="clear" w:color="auto" w:fill="FFFFFF"/>
        <w:spacing w:after="0" w:line="240" w:lineRule="auto"/>
        <w:ind w:right="2520"/>
        <w:jc w:val="right"/>
        <w:rPr>
          <w:rFonts w:ascii="Georgia" w:eastAsia="Times New Roman" w:hAnsi="Georgia" w:cs="Arial"/>
          <w:vanish/>
          <w:color w:val="333333"/>
          <w:sz w:val="15"/>
          <w:szCs w:val="15"/>
        </w:rPr>
      </w:pPr>
    </w:p>
    <w:tbl>
      <w:tblPr>
        <w:tblW w:w="2000" w:type="pct"/>
        <w:jc w:val="right"/>
        <w:tblCellSpacing w:w="0" w:type="dxa"/>
        <w:tblCellMar>
          <w:left w:w="0" w:type="dxa"/>
          <w:right w:w="0" w:type="dxa"/>
        </w:tblCellMar>
        <w:tblLook w:val="04A0"/>
      </w:tblPr>
      <w:tblGrid>
        <w:gridCol w:w="3467"/>
        <w:gridCol w:w="2557"/>
        <w:gridCol w:w="3114"/>
      </w:tblGrid>
      <w:tr w:rsidR="00096BC1" w:rsidRPr="00C8720F" w:rsidTr="00096BC1">
        <w:trPr>
          <w:tblCellSpacing w:w="0" w:type="dxa"/>
          <w:jc w:val="right"/>
        </w:trPr>
        <w:tc>
          <w:tcPr>
            <w:tcW w:w="1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3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Witnessed 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w:t>
            </w:r>
            <w:proofErr w:type="spellStart"/>
            <w:r w:rsidRPr="00C8720F">
              <w:rPr>
                <w:rFonts w:ascii="Georgia" w:eastAsia="Times New Roman" w:hAnsi="Georgia" w:cs="Times New Roman"/>
                <w:sz w:val="15"/>
                <w:szCs w:val="15"/>
              </w:rPr>
              <w:t>Jemma</w:t>
            </w:r>
            <w:proofErr w:type="spellEnd"/>
            <w:r w:rsidRPr="00C8720F">
              <w:rPr>
                <w:rFonts w:ascii="Georgia" w:eastAsia="Times New Roman" w:hAnsi="Georgia" w:cs="Times New Roman"/>
                <w:sz w:val="15"/>
                <w:szCs w:val="15"/>
              </w:rPr>
              <w:t xml:space="preserve"> Flannery</w:t>
            </w:r>
          </w:p>
        </w:tc>
      </w:tr>
    </w:tbl>
    <w:p w:rsidR="00096BC1" w:rsidRPr="00C8720F" w:rsidRDefault="00096BC1" w:rsidP="00C8720F">
      <w:pPr>
        <w:shd w:val="clear" w:color="auto" w:fill="FFFFFF"/>
        <w:spacing w:after="0" w:line="240" w:lineRule="auto"/>
        <w:ind w:right="2520"/>
        <w:jc w:val="right"/>
        <w:rPr>
          <w:rFonts w:ascii="Georgia" w:eastAsia="Times New Roman" w:hAnsi="Georgia" w:cs="Arial"/>
          <w:vanish/>
          <w:color w:val="333333"/>
          <w:sz w:val="15"/>
          <w:szCs w:val="15"/>
        </w:rPr>
      </w:pPr>
    </w:p>
    <w:tbl>
      <w:tblPr>
        <w:tblW w:w="2000" w:type="pct"/>
        <w:jc w:val="right"/>
        <w:tblCellSpacing w:w="0" w:type="dxa"/>
        <w:tblCellMar>
          <w:left w:w="0" w:type="dxa"/>
          <w:right w:w="0" w:type="dxa"/>
        </w:tblCellMar>
        <w:tblLook w:val="04A0"/>
      </w:tblPr>
      <w:tblGrid>
        <w:gridCol w:w="2963"/>
        <w:gridCol w:w="2557"/>
        <w:gridCol w:w="3164"/>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Jemma</w:t>
            </w:r>
            <w:proofErr w:type="spellEnd"/>
            <w:r w:rsidRPr="00C8720F">
              <w:rPr>
                <w:rFonts w:ascii="Georgia" w:eastAsia="Times New Roman" w:hAnsi="Georgia" w:cs="Times New Roman"/>
                <w:sz w:val="15"/>
                <w:szCs w:val="15"/>
              </w:rPr>
              <w:t xml:space="preserve"> Flannery</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Executive Assistant</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49"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85"/>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ARGONAUT VENTURES I,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Argonaut Private Equity, L.L.C., its Manager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Steve Mitchell</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Steve Mitchell</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Director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0"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434"/>
        <w:gridCol w:w="6"/>
      </w:tblGrid>
      <w:tr w:rsidR="00096BC1" w:rsidRPr="00C8720F" w:rsidTr="00096BC1">
        <w:trPr>
          <w:gridAfter w:val="1"/>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gridAfter w:val="1"/>
          <w:trHeight w:val="291"/>
          <w:tblCellSpacing w:w="0" w:type="dxa"/>
          <w:jc w:val="right"/>
        </w:trPr>
        <w:tc>
          <w:tcPr>
            <w:tcW w:w="0" w:type="auto"/>
            <w:gridSpan w:val="3"/>
            <w:vMerge w:val="restart"/>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ARTIS PARTNERS, L.P.</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ARTIS PARTNERS 2X, L.P.</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ARTIS PARTNERS (INSTITUTIONAL), LP</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ARTIS PARTNERS 2X (INSTITUTIONAL), L.P.</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ARTIS AGGRESSIVE GROWTH, L.P.</w:t>
            </w:r>
          </w:p>
        </w:tc>
      </w:tr>
      <w:tr w:rsidR="00096BC1" w:rsidRPr="00C8720F" w:rsidTr="00096BC1">
        <w:trPr>
          <w:tblCellSpacing w:w="0" w:type="dxa"/>
          <w:jc w:val="right"/>
        </w:trPr>
        <w:tc>
          <w:tcPr>
            <w:tcW w:w="0" w:type="auto"/>
            <w:gridSpan w:val="3"/>
            <w:vMerge/>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vMerge/>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vMerge/>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vMerge/>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Artis</w:t>
            </w:r>
            <w:proofErr w:type="spellEnd"/>
            <w:r w:rsidRPr="00C8720F">
              <w:rPr>
                <w:rFonts w:ascii="Georgia" w:eastAsia="Times New Roman" w:hAnsi="Georgia" w:cs="Times New Roman"/>
                <w:sz w:val="15"/>
                <w:szCs w:val="15"/>
              </w:rPr>
              <w:t xml:space="preserve"> Capital Management, L.P.</w:t>
            </w: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 for Each Fund:</w:t>
            </w: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Todd </w:t>
            </w:r>
            <w:proofErr w:type="spellStart"/>
            <w:r w:rsidRPr="00C8720F">
              <w:rPr>
                <w:rFonts w:ascii="Georgia" w:eastAsia="Times New Roman" w:hAnsi="Georgia" w:cs="Times New Roman"/>
                <w:sz w:val="15"/>
                <w:szCs w:val="15"/>
              </w:rPr>
              <w:t>Moodey</w:t>
            </w:r>
            <w:proofErr w:type="spellEnd"/>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Todd </w:t>
            </w:r>
            <w:proofErr w:type="spellStart"/>
            <w:r w:rsidRPr="00C8720F">
              <w:rPr>
                <w:rFonts w:ascii="Georgia" w:eastAsia="Times New Roman" w:hAnsi="Georgia" w:cs="Times New Roman"/>
                <w:sz w:val="15"/>
                <w:szCs w:val="15"/>
              </w:rPr>
              <w:t>Moodey</w:t>
            </w:r>
            <w:proofErr w:type="spellEnd"/>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Chief Operating Officer</w:t>
            </w: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vMerge w:val="restart"/>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ARTIS PARTNERS LTD.</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ARTIS PARTNERS 2X LTD.</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ARTIS AGGRESSIVE GROWTH MASTER</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FUND, L.P.</w:t>
            </w: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vMerge/>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vMerge/>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Artis</w:t>
            </w:r>
            <w:proofErr w:type="spellEnd"/>
            <w:r w:rsidRPr="00C8720F">
              <w:rPr>
                <w:rFonts w:ascii="Georgia" w:eastAsia="Times New Roman" w:hAnsi="Georgia" w:cs="Times New Roman"/>
                <w:sz w:val="15"/>
                <w:szCs w:val="15"/>
              </w:rPr>
              <w:t xml:space="preserve"> Capital Management, L.P.</w:t>
            </w: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Investment Adviser and Attorney-In-Fact for</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Each Fund</w:t>
            </w: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Todd </w:t>
            </w:r>
            <w:proofErr w:type="spellStart"/>
            <w:r w:rsidRPr="00C8720F">
              <w:rPr>
                <w:rFonts w:ascii="Georgia" w:eastAsia="Times New Roman" w:hAnsi="Georgia" w:cs="Times New Roman"/>
                <w:sz w:val="15"/>
                <w:szCs w:val="15"/>
              </w:rPr>
              <w:t>Moodey</w:t>
            </w:r>
            <w:proofErr w:type="spellEnd"/>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Todd </w:t>
            </w:r>
            <w:proofErr w:type="spellStart"/>
            <w:r w:rsidRPr="00C8720F">
              <w:rPr>
                <w:rFonts w:ascii="Georgia" w:eastAsia="Times New Roman" w:hAnsi="Georgia" w:cs="Times New Roman"/>
                <w:sz w:val="15"/>
                <w:szCs w:val="15"/>
              </w:rPr>
              <w:t>Moodey</w:t>
            </w:r>
            <w:proofErr w:type="spellEnd"/>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Chief Operating Officer</w:t>
            </w:r>
          </w:p>
        </w:tc>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1"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13"/>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BELTEST SHIPPING COMPANY LIMITED</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S.N. </w:t>
            </w:r>
            <w:proofErr w:type="spellStart"/>
            <w:r w:rsidRPr="00C8720F">
              <w:rPr>
                <w:rFonts w:ascii="Georgia" w:eastAsia="Times New Roman" w:hAnsi="Georgia" w:cs="Times New Roman"/>
                <w:sz w:val="15"/>
                <w:szCs w:val="15"/>
              </w:rPr>
              <w:t>Zouvelos</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S.N. </w:t>
            </w:r>
            <w:proofErr w:type="spellStart"/>
            <w:r w:rsidRPr="00C8720F">
              <w:rPr>
                <w:rFonts w:ascii="Georgia" w:eastAsia="Times New Roman" w:hAnsi="Georgia" w:cs="Times New Roman"/>
                <w:sz w:val="15"/>
                <w:szCs w:val="15"/>
              </w:rPr>
              <w:t>Zouvelos</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Manager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2"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739"/>
        <w:gridCol w:w="2557"/>
        <w:gridCol w:w="3164"/>
      </w:tblGrid>
      <w:tr w:rsidR="00096BC1" w:rsidRPr="00C8720F" w:rsidTr="00096BC1">
        <w:trPr>
          <w:tblCellSpacing w:w="0" w:type="dxa"/>
          <w:jc w:val="right"/>
        </w:trPr>
        <w:tc>
          <w:tcPr>
            <w:tcW w:w="3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10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COMMON HOLDERS:</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Christian </w:t>
            </w:r>
            <w:proofErr w:type="spellStart"/>
            <w:r w:rsidRPr="00C8720F">
              <w:rPr>
                <w:rFonts w:ascii="Georgia" w:eastAsia="Times New Roman" w:hAnsi="Georgia" w:cs="Times New Roman"/>
                <w:sz w:val="15"/>
                <w:szCs w:val="15"/>
              </w:rPr>
              <w:t>Gronet</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Christian </w:t>
            </w:r>
            <w:proofErr w:type="spellStart"/>
            <w:r w:rsidRPr="00C8720F">
              <w:rPr>
                <w:rFonts w:ascii="Georgia" w:eastAsia="Times New Roman" w:hAnsi="Georgia" w:cs="Times New Roman"/>
                <w:sz w:val="15"/>
                <w:szCs w:val="15"/>
              </w:rPr>
              <w:t>Gronet</w:t>
            </w:r>
            <w:proofErr w:type="spellEnd"/>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James Kelly Truman</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Benjamin </w:t>
            </w:r>
            <w:proofErr w:type="spellStart"/>
            <w:r w:rsidRPr="00C8720F">
              <w:rPr>
                <w:rFonts w:ascii="Georgia" w:eastAsia="Times New Roman" w:hAnsi="Georgia" w:cs="Times New Roman"/>
                <w:sz w:val="15"/>
                <w:szCs w:val="15"/>
              </w:rPr>
              <w:t>Bierman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Benjamin </w:t>
            </w:r>
            <w:proofErr w:type="spellStart"/>
            <w:r w:rsidRPr="00C8720F">
              <w:rPr>
                <w:rFonts w:ascii="Georgia" w:eastAsia="Times New Roman" w:hAnsi="Georgia" w:cs="Times New Roman"/>
                <w:sz w:val="15"/>
                <w:szCs w:val="15"/>
              </w:rPr>
              <w:t>Bierman</w:t>
            </w:r>
            <w:proofErr w:type="spellEnd"/>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3"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434"/>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CMEA VENTURES VI,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James Watson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James Watson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CMEA VENTURES VI, L.P., GMBH &amp; CO. K.P.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CMEA Ventures VI Management, L.P.</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Limited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James Watson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James Watson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pict>
          <v:rect id="_x0000_i1054"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043"/>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CMEA Ventures VII,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James Watson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James Watson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CMEA VENTURES VII (Parallel),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James Watson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James Watson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5"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10"/>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GIRASOLE PARTNERS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Joseph L. Parker, Jr.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Joseph L. Parker, Jr.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Manager and Member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6"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85"/>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GKFF Investment Company,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Steve Mitchell</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Steve Mitchell</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Director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7"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10"/>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HBA HOLDINGS,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James F. </w:t>
            </w:r>
            <w:proofErr w:type="spellStart"/>
            <w:r w:rsidRPr="00C8720F">
              <w:rPr>
                <w:rFonts w:ascii="Georgia" w:eastAsia="Times New Roman" w:hAnsi="Georgia" w:cs="Times New Roman"/>
                <w:sz w:val="15"/>
                <w:szCs w:val="15"/>
              </w:rPr>
              <w:t>Adelson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James F. </w:t>
            </w:r>
            <w:proofErr w:type="spellStart"/>
            <w:r w:rsidRPr="00C8720F">
              <w:rPr>
                <w:rFonts w:ascii="Georgia" w:eastAsia="Times New Roman" w:hAnsi="Georgia" w:cs="Times New Roman"/>
                <w:sz w:val="15"/>
                <w:szCs w:val="15"/>
              </w:rPr>
              <w:t>Adelson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8"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349"/>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HOWARD HUGHES MEDICAL INSTITUTE</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Landis Zimmerman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Landis Zimmerman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Vice President &amp; Chief Investment Officer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59"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222"/>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HORNTHAL INVESTMENT PARTNERS</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Jim </w:t>
            </w:r>
            <w:proofErr w:type="spellStart"/>
            <w:r w:rsidRPr="00C8720F">
              <w:rPr>
                <w:rFonts w:ascii="Georgia" w:eastAsia="Times New Roman" w:hAnsi="Georgia" w:cs="Times New Roman"/>
                <w:sz w:val="15"/>
                <w:szCs w:val="15"/>
              </w:rPr>
              <w:t>Hornthal</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Jim </w:t>
            </w:r>
            <w:proofErr w:type="spellStart"/>
            <w:r w:rsidRPr="00C8720F">
              <w:rPr>
                <w:rFonts w:ascii="Georgia" w:eastAsia="Times New Roman" w:hAnsi="Georgia" w:cs="Times New Roman"/>
                <w:sz w:val="15"/>
                <w:szCs w:val="15"/>
              </w:rPr>
              <w:t>Hornthal</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Chairman, </w:t>
            </w:r>
            <w:proofErr w:type="spellStart"/>
            <w:r w:rsidRPr="00C8720F">
              <w:rPr>
                <w:rFonts w:ascii="Georgia" w:eastAsia="Times New Roman" w:hAnsi="Georgia" w:cs="Times New Roman"/>
                <w:sz w:val="15"/>
                <w:szCs w:val="15"/>
              </w:rPr>
              <w:t>Hornthal</w:t>
            </w:r>
            <w:proofErr w:type="spellEnd"/>
            <w:r w:rsidRPr="00C8720F">
              <w:rPr>
                <w:rFonts w:ascii="Georgia" w:eastAsia="Times New Roman" w:hAnsi="Georgia" w:cs="Times New Roman"/>
                <w:sz w:val="15"/>
                <w:szCs w:val="15"/>
              </w:rPr>
              <w:t xml:space="preserve"> &amp; Co., Inc.</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0"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424"/>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HSH NORDBANK AG, CAYMAN</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ISLANDS BRANCH</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Charles J. </w:t>
            </w:r>
            <w:proofErr w:type="spellStart"/>
            <w:r w:rsidRPr="00C8720F">
              <w:rPr>
                <w:rFonts w:ascii="Georgia" w:eastAsia="Times New Roman" w:hAnsi="Georgia" w:cs="Times New Roman"/>
                <w:sz w:val="15"/>
                <w:szCs w:val="15"/>
              </w:rPr>
              <w:t>Lansdown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Charles J. </w:t>
            </w:r>
            <w:proofErr w:type="spellStart"/>
            <w:r w:rsidRPr="00C8720F">
              <w:rPr>
                <w:rFonts w:ascii="Georgia" w:eastAsia="Times New Roman" w:hAnsi="Georgia" w:cs="Times New Roman"/>
                <w:sz w:val="15"/>
                <w:szCs w:val="15"/>
              </w:rPr>
              <w:t>Lansdown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Senior Vice President</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HSH NORDBANK AG, CAYMAN</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ISLANDS BRANCH</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[ILLEGIBLE]</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1"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076"/>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JAMES GIBBONS</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James Gibbons</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James Gibbons</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2"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85"/>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KC-SOLAR,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Wellford Tabor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Wellford Tabor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Member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3"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702"/>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KEYWORD COMPANY LIMITED</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[ILLEGIBLE]  /s/ [ILLEGIBLE]</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For and On Behalf of </w:t>
            </w:r>
            <w:proofErr w:type="spellStart"/>
            <w:r w:rsidRPr="00C8720F">
              <w:rPr>
                <w:rFonts w:ascii="Georgia" w:eastAsia="Times New Roman" w:hAnsi="Georgia" w:cs="Times New Roman"/>
                <w:sz w:val="15"/>
                <w:szCs w:val="15"/>
              </w:rPr>
              <w:t>Derard</w:t>
            </w:r>
            <w:proofErr w:type="spellEnd"/>
            <w:r w:rsidRPr="00C8720F">
              <w:rPr>
                <w:rFonts w:ascii="Georgia" w:eastAsia="Times New Roman" w:hAnsi="Georgia" w:cs="Times New Roman"/>
                <w:sz w:val="15"/>
                <w:szCs w:val="15"/>
              </w:rPr>
              <w:t xml:space="preserve"> Ltd - Director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Director</w:t>
            </w:r>
          </w:p>
        </w:tc>
      </w:tr>
    </w:tbl>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4"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258"/>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KFN PEI VIII, LLC</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KKR Financial Advisors L.L.C., not individually but solely in its capacity as investment manager for KKR Financial Corp.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w:t>
            </w:r>
            <w:proofErr w:type="spellStart"/>
            <w:r w:rsidRPr="00C8720F">
              <w:rPr>
                <w:rFonts w:ascii="Georgia" w:eastAsia="Times New Roman" w:hAnsi="Georgia" w:cs="Times New Roman"/>
                <w:sz w:val="15"/>
                <w:szCs w:val="15"/>
              </w:rPr>
              <w:t>Roshan</w:t>
            </w:r>
            <w:proofErr w:type="spellEnd"/>
            <w:r w:rsidRPr="00C8720F">
              <w:rPr>
                <w:rFonts w:ascii="Georgia" w:eastAsia="Times New Roman" w:hAnsi="Georgia" w:cs="Times New Roman"/>
                <w:sz w:val="15"/>
                <w:szCs w:val="15"/>
              </w:rPr>
              <w:t xml:space="preserve"> </w:t>
            </w:r>
            <w:proofErr w:type="spellStart"/>
            <w:r w:rsidRPr="00C8720F">
              <w:rPr>
                <w:rFonts w:ascii="Georgia" w:eastAsia="Times New Roman" w:hAnsi="Georgia" w:cs="Times New Roman"/>
                <w:sz w:val="15"/>
                <w:szCs w:val="15"/>
              </w:rPr>
              <w:t>Chagan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Roshan</w:t>
            </w:r>
            <w:proofErr w:type="spellEnd"/>
            <w:r w:rsidRPr="00C8720F">
              <w:rPr>
                <w:rFonts w:ascii="Georgia" w:eastAsia="Times New Roman" w:hAnsi="Georgia" w:cs="Times New Roman"/>
                <w:sz w:val="15"/>
                <w:szCs w:val="15"/>
              </w:rPr>
              <w:t xml:space="preserve"> </w:t>
            </w:r>
            <w:proofErr w:type="spellStart"/>
            <w:r w:rsidRPr="00C8720F">
              <w:rPr>
                <w:rFonts w:ascii="Georgia" w:eastAsia="Times New Roman" w:hAnsi="Georgia" w:cs="Times New Roman"/>
                <w:sz w:val="15"/>
                <w:szCs w:val="15"/>
              </w:rPr>
              <w:t>Chagan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Authorized Signatory</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KKR STRATEGIC CAPITAL FUND, L.P.</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KKR Strategic Capital Management, L.L.C., not individually but solely in its capacity as investment manager for KKR Strategic Capital Fund,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Andrew J. </w:t>
            </w:r>
            <w:proofErr w:type="spellStart"/>
            <w:r w:rsidRPr="00C8720F">
              <w:rPr>
                <w:rFonts w:ascii="Georgia" w:eastAsia="Times New Roman" w:hAnsi="Georgia" w:cs="Times New Roman"/>
                <w:sz w:val="15"/>
                <w:szCs w:val="15"/>
              </w:rPr>
              <w:t>Sossen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Andrew J. </w:t>
            </w:r>
            <w:proofErr w:type="spellStart"/>
            <w:r w:rsidRPr="00C8720F">
              <w:rPr>
                <w:rFonts w:ascii="Georgia" w:eastAsia="Times New Roman" w:hAnsi="Georgia" w:cs="Times New Roman"/>
                <w:sz w:val="15"/>
                <w:szCs w:val="15"/>
              </w:rPr>
              <w:t>Sossen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Authorized Signatory</w:t>
            </w:r>
          </w:p>
        </w:tc>
      </w:tr>
    </w:tbl>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5"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258"/>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KKR STRATEGIC CAPITAL OVERSEAS</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FUND, LTD.</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KKR Strategic Capital Management,</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L.L.C., not individually but solely in its</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capacity as investment manager for KKR</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Strategic Capital Overseas Fund, Ltd.</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w:t>
            </w:r>
            <w:proofErr w:type="spellStart"/>
            <w:r w:rsidRPr="00C8720F">
              <w:rPr>
                <w:rFonts w:ascii="Georgia" w:eastAsia="Times New Roman" w:hAnsi="Georgia" w:cs="Times New Roman"/>
                <w:sz w:val="15"/>
                <w:szCs w:val="15"/>
              </w:rPr>
              <w:t>Roshan</w:t>
            </w:r>
            <w:proofErr w:type="spellEnd"/>
            <w:r w:rsidRPr="00C8720F">
              <w:rPr>
                <w:rFonts w:ascii="Georgia" w:eastAsia="Times New Roman" w:hAnsi="Georgia" w:cs="Times New Roman"/>
                <w:sz w:val="15"/>
                <w:szCs w:val="15"/>
              </w:rPr>
              <w:t xml:space="preserve"> </w:t>
            </w:r>
            <w:proofErr w:type="spellStart"/>
            <w:r w:rsidRPr="00C8720F">
              <w:rPr>
                <w:rFonts w:ascii="Georgia" w:eastAsia="Times New Roman" w:hAnsi="Georgia" w:cs="Times New Roman"/>
                <w:sz w:val="15"/>
                <w:szCs w:val="15"/>
              </w:rPr>
              <w:t>Chagan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Roshan</w:t>
            </w:r>
            <w:proofErr w:type="spellEnd"/>
            <w:r w:rsidRPr="00C8720F">
              <w:rPr>
                <w:rFonts w:ascii="Georgia" w:eastAsia="Times New Roman" w:hAnsi="Georgia" w:cs="Times New Roman"/>
                <w:sz w:val="15"/>
                <w:szCs w:val="15"/>
              </w:rPr>
              <w:t xml:space="preserve"> </w:t>
            </w:r>
            <w:proofErr w:type="spellStart"/>
            <w:r w:rsidRPr="00C8720F">
              <w:rPr>
                <w:rFonts w:ascii="Georgia" w:eastAsia="Times New Roman" w:hAnsi="Georgia" w:cs="Times New Roman"/>
                <w:sz w:val="15"/>
                <w:szCs w:val="15"/>
              </w:rPr>
              <w:t>Chagan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Authorized Signatory</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KKR STRATEGIC CAPITAL INSTITUTIONAL</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FUND, LTD.</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KKR Strategic Capital Management,</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L.L.C., not individually but solely in its</w:t>
            </w:r>
          </w:p>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capacity as investment manager for KKR</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t>Strategic Capital Institutional Fund, Ltd.</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Andrew J. </w:t>
            </w:r>
            <w:proofErr w:type="spellStart"/>
            <w:r w:rsidRPr="00C8720F">
              <w:rPr>
                <w:rFonts w:ascii="Georgia" w:eastAsia="Times New Roman" w:hAnsi="Georgia" w:cs="Times New Roman"/>
                <w:sz w:val="15"/>
                <w:szCs w:val="15"/>
              </w:rPr>
              <w:t>Sossen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Andrew J. </w:t>
            </w:r>
            <w:proofErr w:type="spellStart"/>
            <w:r w:rsidRPr="00C8720F">
              <w:rPr>
                <w:rFonts w:ascii="Georgia" w:eastAsia="Times New Roman" w:hAnsi="Georgia" w:cs="Times New Roman"/>
                <w:sz w:val="15"/>
                <w:szCs w:val="15"/>
              </w:rPr>
              <w:t>Sossen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Authorized Signatory</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6"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10"/>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LENOX INVESTMENTS,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Paul D. Wilson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Paul D. Wilson</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7"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93"/>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MADRONE PARTNERS,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Madrone</w:t>
            </w:r>
            <w:proofErr w:type="spellEnd"/>
            <w:r w:rsidRPr="00C8720F">
              <w:rPr>
                <w:rFonts w:ascii="Georgia" w:eastAsia="Times New Roman" w:hAnsi="Georgia" w:cs="Times New Roman"/>
                <w:sz w:val="15"/>
                <w:szCs w:val="15"/>
              </w:rPr>
              <w:t xml:space="preserve"> Capital Partners, L.L.C.</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Jameson </w:t>
            </w:r>
            <w:proofErr w:type="spellStart"/>
            <w:r w:rsidRPr="00C8720F">
              <w:rPr>
                <w:rFonts w:ascii="Georgia" w:eastAsia="Times New Roman" w:hAnsi="Georgia" w:cs="Times New Roman"/>
                <w:sz w:val="15"/>
                <w:szCs w:val="15"/>
              </w:rPr>
              <w:t>McJunkin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Jameson </w:t>
            </w:r>
            <w:proofErr w:type="spellStart"/>
            <w:r w:rsidRPr="00C8720F">
              <w:rPr>
                <w:rFonts w:ascii="Georgia" w:eastAsia="Times New Roman" w:hAnsi="Georgia" w:cs="Times New Roman"/>
                <w:sz w:val="15"/>
                <w:szCs w:val="15"/>
              </w:rPr>
              <w:t>McJunkin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Member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8"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54"/>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MAPLE AVE. INVESTORS IN</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SOLYNDRA,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James </w:t>
            </w:r>
            <w:proofErr w:type="spellStart"/>
            <w:r w:rsidRPr="00C8720F">
              <w:rPr>
                <w:rFonts w:ascii="Georgia" w:eastAsia="Times New Roman" w:hAnsi="Georgia" w:cs="Times New Roman"/>
                <w:sz w:val="15"/>
                <w:szCs w:val="15"/>
              </w:rPr>
              <w:t>Carreker</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James </w:t>
            </w:r>
            <w:proofErr w:type="spellStart"/>
            <w:r w:rsidRPr="00C8720F">
              <w:rPr>
                <w:rFonts w:ascii="Georgia" w:eastAsia="Times New Roman" w:hAnsi="Georgia" w:cs="Times New Roman"/>
                <w:sz w:val="15"/>
                <w:szCs w:val="15"/>
              </w:rPr>
              <w:t>Carreker</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President</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69"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38"/>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OZ EUROPE MASTER FUND, LTD.</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OZ Management LP, its Investment Manager</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By: </w:t>
            </w:r>
            <w:proofErr w:type="spellStart"/>
            <w:r w:rsidRPr="00C8720F">
              <w:rPr>
                <w:rFonts w:ascii="Georgia" w:eastAsia="Times New Roman" w:hAnsi="Georgia" w:cs="Times New Roman"/>
                <w:sz w:val="15"/>
                <w:szCs w:val="15"/>
              </w:rPr>
              <w:t>Och</w:t>
            </w:r>
            <w:proofErr w:type="spellEnd"/>
            <w:r w:rsidRPr="00C8720F">
              <w:rPr>
                <w:rFonts w:ascii="Georgia" w:eastAsia="Times New Roman" w:hAnsi="Georgia" w:cs="Times New Roman"/>
                <w:sz w:val="15"/>
                <w:szCs w:val="15"/>
              </w:rPr>
              <w:t>-Ziff Holding Corp., its 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Joel Frank</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Joel Frank</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Chief Financial Officer</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lastRenderedPageBreak/>
              <w:t>OZ MASTER FUND, LTD.</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OZ Management LP, its Investment Manager</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By: </w:t>
            </w:r>
            <w:proofErr w:type="spellStart"/>
            <w:r w:rsidRPr="00C8720F">
              <w:rPr>
                <w:rFonts w:ascii="Georgia" w:eastAsia="Times New Roman" w:hAnsi="Georgia" w:cs="Times New Roman"/>
                <w:sz w:val="15"/>
                <w:szCs w:val="15"/>
              </w:rPr>
              <w:t>Och</w:t>
            </w:r>
            <w:proofErr w:type="spellEnd"/>
            <w:r w:rsidRPr="00C8720F">
              <w:rPr>
                <w:rFonts w:ascii="Georgia" w:eastAsia="Times New Roman" w:hAnsi="Georgia" w:cs="Times New Roman"/>
                <w:sz w:val="15"/>
                <w:szCs w:val="15"/>
              </w:rPr>
              <w:t>-Ziff Holding Corp., its 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Joel Frank</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Joel Frank</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Chief Financial Officer</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OZ GLOBAL SPECIAL INVESTMENT</w:t>
            </w:r>
          </w:p>
          <w:p w:rsidR="00096BC1" w:rsidRPr="00C8720F" w:rsidRDefault="00096BC1" w:rsidP="00C8720F">
            <w:pP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MASTER FUND, LTD.</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OZ Advisors II LP, its General Partner</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By: </w:t>
            </w:r>
            <w:proofErr w:type="spellStart"/>
            <w:r w:rsidRPr="00C8720F">
              <w:rPr>
                <w:rFonts w:ascii="Georgia" w:eastAsia="Times New Roman" w:hAnsi="Georgia" w:cs="Times New Roman"/>
                <w:sz w:val="15"/>
                <w:szCs w:val="15"/>
              </w:rPr>
              <w:t>Och</w:t>
            </w:r>
            <w:proofErr w:type="spellEnd"/>
            <w:r w:rsidRPr="00C8720F">
              <w:rPr>
                <w:rFonts w:ascii="Georgia" w:eastAsia="Times New Roman" w:hAnsi="Georgia" w:cs="Times New Roman"/>
                <w:sz w:val="15"/>
                <w:szCs w:val="15"/>
              </w:rPr>
              <w:t>-Ziff Holding Corp., its 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Joel Frank</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Joel Frank</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Chief Financial Officer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0"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082"/>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PHIL FROHLICH</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Phil </w:t>
            </w:r>
            <w:proofErr w:type="spellStart"/>
            <w:r w:rsidRPr="00C8720F">
              <w:rPr>
                <w:rFonts w:ascii="Georgia" w:eastAsia="Times New Roman" w:hAnsi="Georgia" w:cs="Times New Roman"/>
                <w:sz w:val="15"/>
                <w:szCs w:val="15"/>
              </w:rPr>
              <w:t>Frohlich</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Phil </w:t>
            </w:r>
            <w:proofErr w:type="spellStart"/>
            <w:r w:rsidRPr="00C8720F">
              <w:rPr>
                <w:rFonts w:ascii="Georgia" w:eastAsia="Times New Roman" w:hAnsi="Georgia" w:cs="Times New Roman"/>
                <w:sz w:val="15"/>
                <w:szCs w:val="15"/>
              </w:rPr>
              <w:t>Frohlich</w:t>
            </w:r>
            <w:proofErr w:type="spellEnd"/>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1"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267"/>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PINTO INVESTMENT PARTNERS,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PINTO GP, LIMITED</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CIP GP, L.L.C.</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Robert K. Hatcher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Robert K. Hatcher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President and Chief Executive Officer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2"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63"/>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RAYMOND J. SIMS</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Raymond J. Sims</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Raymond </w:t>
            </w:r>
            <w:r w:rsidRPr="00C8720F">
              <w:rPr>
                <w:rFonts w:ascii="Georgia" w:eastAsia="Times New Roman" w:hAnsi="Georgia" w:cs="Times New Roman"/>
                <w:sz w:val="15"/>
                <w:szCs w:val="15"/>
              </w:rPr>
              <w:lastRenderedPageBreak/>
              <w:t>J. Sims</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pict>
          <v:rect id="_x0000_i1073"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85"/>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REDPOINT VENTURES II,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Redpoint</w:t>
            </w:r>
            <w:proofErr w:type="spellEnd"/>
            <w:r w:rsidRPr="00C8720F">
              <w:rPr>
                <w:rFonts w:ascii="Georgia" w:eastAsia="Times New Roman" w:hAnsi="Georgia" w:cs="Times New Roman"/>
                <w:sz w:val="15"/>
                <w:szCs w:val="15"/>
              </w:rPr>
              <w:t xml:space="preserve"> Ventures II, LLC</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John </w:t>
            </w:r>
            <w:proofErr w:type="spellStart"/>
            <w:r w:rsidRPr="00C8720F">
              <w:rPr>
                <w:rFonts w:ascii="Georgia" w:eastAsia="Times New Roman" w:hAnsi="Georgia" w:cs="Times New Roman"/>
                <w:sz w:val="15"/>
                <w:szCs w:val="15"/>
              </w:rPr>
              <w:t>Walecka</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John </w:t>
            </w:r>
            <w:proofErr w:type="spellStart"/>
            <w:r w:rsidRPr="00C8720F">
              <w:rPr>
                <w:rFonts w:ascii="Georgia" w:eastAsia="Times New Roman" w:hAnsi="Georgia" w:cs="Times New Roman"/>
                <w:sz w:val="15"/>
                <w:szCs w:val="15"/>
              </w:rPr>
              <w:t>Walecka</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Director</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REDPOINT ASSOCIATES II,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Redpoint</w:t>
            </w:r>
            <w:proofErr w:type="spellEnd"/>
            <w:r w:rsidRPr="00C8720F">
              <w:rPr>
                <w:rFonts w:ascii="Georgia" w:eastAsia="Times New Roman" w:hAnsi="Georgia" w:cs="Times New Roman"/>
                <w:sz w:val="15"/>
                <w:szCs w:val="15"/>
              </w:rPr>
              <w:t xml:space="preserve"> Ventures II, LLC</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Nominee</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John </w:t>
            </w:r>
            <w:proofErr w:type="spellStart"/>
            <w:r w:rsidRPr="00C8720F">
              <w:rPr>
                <w:rFonts w:ascii="Georgia" w:eastAsia="Times New Roman" w:hAnsi="Georgia" w:cs="Times New Roman"/>
                <w:sz w:val="15"/>
                <w:szCs w:val="15"/>
              </w:rPr>
              <w:t>Walecka</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John </w:t>
            </w:r>
            <w:proofErr w:type="spellStart"/>
            <w:r w:rsidRPr="00C8720F">
              <w:rPr>
                <w:rFonts w:ascii="Georgia" w:eastAsia="Times New Roman" w:hAnsi="Georgia" w:cs="Times New Roman"/>
                <w:sz w:val="15"/>
                <w:szCs w:val="15"/>
              </w:rPr>
              <w:t>Walecka</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Director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4"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85"/>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ROCKPORT CAPITAL PARTNERS II, L.P</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Rockport Capital II, L.L.C., its 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David J. </w:t>
            </w:r>
            <w:proofErr w:type="spellStart"/>
            <w:r w:rsidRPr="00C8720F">
              <w:rPr>
                <w:rFonts w:ascii="Georgia" w:eastAsia="Times New Roman" w:hAnsi="Georgia" w:cs="Times New Roman"/>
                <w:sz w:val="15"/>
                <w:szCs w:val="15"/>
              </w:rPr>
              <w:t>Prend</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David J. </w:t>
            </w:r>
            <w:proofErr w:type="spellStart"/>
            <w:r w:rsidRPr="00C8720F">
              <w:rPr>
                <w:rFonts w:ascii="Georgia" w:eastAsia="Times New Roman" w:hAnsi="Georgia" w:cs="Times New Roman"/>
                <w:sz w:val="15"/>
                <w:szCs w:val="15"/>
              </w:rPr>
              <w:t>Prend</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Member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5"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85"/>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ROCKPORT CAPITAL PARTNERS III,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David J. </w:t>
            </w:r>
            <w:proofErr w:type="spellStart"/>
            <w:r w:rsidRPr="00C8720F">
              <w:rPr>
                <w:rFonts w:ascii="Georgia" w:eastAsia="Times New Roman" w:hAnsi="Georgia" w:cs="Times New Roman"/>
                <w:sz w:val="15"/>
                <w:szCs w:val="15"/>
              </w:rPr>
              <w:t>Prend</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David J. </w:t>
            </w:r>
            <w:proofErr w:type="spellStart"/>
            <w:r w:rsidRPr="00C8720F">
              <w:rPr>
                <w:rFonts w:ascii="Georgia" w:eastAsia="Times New Roman" w:hAnsi="Georgia" w:cs="Times New Roman"/>
                <w:sz w:val="15"/>
                <w:szCs w:val="15"/>
              </w:rPr>
              <w:t>Prend</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Member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6"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164"/>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SERA SOLAR CORPORATION</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James F. Gibbons</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James F. Gibbons</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Chief Executive Officer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7"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393"/>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STACY FAMILY TRUST</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Stacy </w:t>
            </w:r>
            <w:proofErr w:type="spellStart"/>
            <w:r w:rsidRPr="00C8720F">
              <w:rPr>
                <w:rFonts w:ascii="Georgia" w:eastAsia="Times New Roman" w:hAnsi="Georgia" w:cs="Times New Roman"/>
                <w:sz w:val="15"/>
                <w:szCs w:val="15"/>
              </w:rPr>
              <w:t>Schusterman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Stacy </w:t>
            </w:r>
            <w:proofErr w:type="spellStart"/>
            <w:r w:rsidRPr="00C8720F">
              <w:rPr>
                <w:rFonts w:ascii="Georgia" w:eastAsia="Times New Roman" w:hAnsi="Georgia" w:cs="Times New Roman"/>
                <w:sz w:val="15"/>
                <w:szCs w:val="15"/>
              </w:rPr>
              <w:t>Schusterman</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Co-Trustee</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8"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381"/>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SUNBIRD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EWR Investments, Inc.</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Debbie </w:t>
            </w:r>
            <w:proofErr w:type="spellStart"/>
            <w:r w:rsidRPr="00C8720F">
              <w:rPr>
                <w:rFonts w:ascii="Georgia" w:eastAsia="Times New Roman" w:hAnsi="Georgia" w:cs="Times New Roman"/>
                <w:sz w:val="15"/>
                <w:szCs w:val="15"/>
              </w:rPr>
              <w:t>Crady</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Debbie </w:t>
            </w:r>
            <w:proofErr w:type="spellStart"/>
            <w:r w:rsidRPr="00C8720F">
              <w:rPr>
                <w:rFonts w:ascii="Georgia" w:eastAsia="Times New Roman" w:hAnsi="Georgia" w:cs="Times New Roman"/>
                <w:sz w:val="15"/>
                <w:szCs w:val="15"/>
              </w:rPr>
              <w:t>Crady</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Vice President</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79"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739"/>
        <w:gridCol w:w="2557"/>
        <w:gridCol w:w="3158"/>
      </w:tblGrid>
      <w:tr w:rsidR="00096BC1" w:rsidRPr="00C8720F" w:rsidTr="00096BC1">
        <w:trPr>
          <w:tblCellSpacing w:w="0" w:type="dxa"/>
          <w:jc w:val="right"/>
        </w:trPr>
        <w:tc>
          <w:tcPr>
            <w:tcW w:w="3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10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U.S. Venture Partners X, L.P.</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USVP X Affiliates, L.P.</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Presidio Management Group X, L.L.C.</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The General Partner of Each</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Michael P. Maher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Michael P. Maher, Attorney-In-Fact</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U.S. Venture Partners IX, L.P.</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Presidio Management Group IX, L.L.C.</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 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/s/ Michael P. Maher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Michael P. Maher, Attorney-In-Fact</w:t>
            </w:r>
          </w:p>
        </w:tc>
      </w:tr>
      <w:tr w:rsidR="00096BC1" w:rsidRPr="00C8720F" w:rsidTr="00096BC1">
        <w:trPr>
          <w:trHeight w:val="240"/>
          <w:tblCellSpacing w:w="0" w:type="dxa"/>
          <w:jc w:val="right"/>
        </w:trPr>
        <w:tc>
          <w:tcPr>
            <w:tcW w:w="0" w:type="auto"/>
            <w:gridSpan w:val="3"/>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U.S. Venture Partners VII, L.P.</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2180 Associates Fund VII, L.P.</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USVP Entrepreneur Partners VII-A, L.P.</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USVP Entrepreneur Partners VII-B, L.P.</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 Presidio Management Group VII, L.L.C.</w:t>
            </w: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The General Partner of Each</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w:t>
            </w:r>
            <w:r w:rsidRPr="00C8720F">
              <w:rPr>
                <w:rFonts w:ascii="Georgia" w:eastAsia="Times New Roman" w:hAnsi="Georgia" w:cs="Times New Roman"/>
                <w:sz w:val="15"/>
                <w:szCs w:val="15"/>
              </w:rPr>
              <w:lastRenderedPageBreak/>
              <w:t>Michael P. Maher</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Michael P. Maher, Attorney-In-Fact</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0"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233"/>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VENTURA VENTURES,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J.W. </w:t>
            </w:r>
            <w:proofErr w:type="spellStart"/>
            <w:r w:rsidRPr="00C8720F">
              <w:rPr>
                <w:rFonts w:ascii="Georgia" w:eastAsia="Times New Roman" w:hAnsi="Georgia" w:cs="Times New Roman"/>
                <w:sz w:val="15"/>
                <w:szCs w:val="15"/>
              </w:rPr>
              <w:t>McKittrick</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J.W. </w:t>
            </w:r>
            <w:proofErr w:type="spellStart"/>
            <w:r w:rsidRPr="00C8720F">
              <w:rPr>
                <w:rFonts w:ascii="Georgia" w:eastAsia="Times New Roman" w:hAnsi="Georgia" w:cs="Times New Roman"/>
                <w:sz w:val="15"/>
                <w:szCs w:val="15"/>
              </w:rPr>
              <w:t>McKittrick</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Managing Partner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1"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088"/>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VIRGIN GREEN FUND I, L.P.</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VGF Partners I, L.P.</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VGF I Limited</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Its:</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General Partner</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w:t>
            </w:r>
            <w:proofErr w:type="spellStart"/>
            <w:r w:rsidRPr="00C8720F">
              <w:rPr>
                <w:rFonts w:ascii="Georgia" w:eastAsia="Times New Roman" w:hAnsi="Georgia" w:cs="Times New Roman"/>
                <w:sz w:val="15"/>
                <w:szCs w:val="15"/>
              </w:rPr>
              <w:t>Anup</w:t>
            </w:r>
            <w:proofErr w:type="spellEnd"/>
            <w:r w:rsidRPr="00C8720F">
              <w:rPr>
                <w:rFonts w:ascii="Georgia" w:eastAsia="Times New Roman" w:hAnsi="Georgia" w:cs="Times New Roman"/>
                <w:sz w:val="15"/>
                <w:szCs w:val="15"/>
              </w:rPr>
              <w:t xml:space="preserve"> Jacob</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roofErr w:type="spellStart"/>
            <w:r w:rsidRPr="00C8720F">
              <w:rPr>
                <w:rFonts w:ascii="Georgia" w:eastAsia="Times New Roman" w:hAnsi="Georgia" w:cs="Times New Roman"/>
                <w:sz w:val="15"/>
                <w:szCs w:val="15"/>
              </w:rPr>
              <w:t>Anup</w:t>
            </w:r>
            <w:proofErr w:type="spellEnd"/>
            <w:r w:rsidRPr="00C8720F">
              <w:rPr>
                <w:rFonts w:ascii="Georgia" w:eastAsia="Times New Roman" w:hAnsi="Georgia" w:cs="Times New Roman"/>
                <w:sz w:val="15"/>
                <w:szCs w:val="15"/>
              </w:rPr>
              <w:t xml:space="preserve"> Jacob</w:t>
            </w: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Director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2" style="width:468pt;height:2.25pt" o:hralign="center" o:hrstd="t" o:hrnoshade="t" o:hr="t" fillcolor="#999" stroked="f"/>
        </w:pict>
      </w:r>
    </w:p>
    <w:p w:rsidR="00096BC1" w:rsidRPr="00C8720F" w:rsidRDefault="00096BC1" w:rsidP="00C8720F">
      <w:pPr>
        <w:shd w:val="clear" w:color="auto" w:fill="FFFFFF"/>
        <w:spacing w:after="0" w:line="240" w:lineRule="auto"/>
        <w:ind w:right="2520" w:firstLine="490"/>
        <w:rPr>
          <w:rFonts w:ascii="Georgia" w:eastAsia="Times New Roman" w:hAnsi="Georgia" w:cs="Arial"/>
          <w:color w:val="333333"/>
          <w:sz w:val="15"/>
          <w:szCs w:val="15"/>
        </w:rPr>
      </w:pPr>
      <w:r w:rsidRPr="00C8720F">
        <w:rPr>
          <w:rFonts w:ascii="Georgia" w:eastAsia="Times New Roman" w:hAnsi="Georgia" w:cs="Arial"/>
          <w:color w:val="333333"/>
          <w:sz w:val="15"/>
          <w:szCs w:val="15"/>
        </w:rPr>
        <w:t>IN WITNESS WHEREOF, the parties have executed this Seventh Amended and Restated Investors' Rights Agreement as of the date first above written.</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3202"/>
      </w:tblGrid>
      <w:tr w:rsidR="00096BC1" w:rsidRPr="00C8720F" w:rsidTr="00096BC1">
        <w:trPr>
          <w:tblCellSpacing w:w="0" w:type="dxa"/>
          <w:jc w:val="right"/>
        </w:trPr>
        <w:tc>
          <w:tcPr>
            <w:tcW w:w="60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50" w:type="pct"/>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4350" w:type="pct"/>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gridSpan w:val="3"/>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b/>
                <w:bCs/>
                <w:sz w:val="15"/>
                <w:szCs w:val="15"/>
              </w:rPr>
              <w:t>ZEITGEIST CAPITAL LLC</w:t>
            </w:r>
          </w:p>
        </w:tc>
      </w:tr>
      <w:tr w:rsidR="00096BC1" w:rsidRPr="00C8720F" w:rsidTr="00096BC1">
        <w:trPr>
          <w:trHeight w:val="240"/>
          <w:tblCellSpacing w:w="0" w:type="dxa"/>
          <w:jc w:val="right"/>
        </w:trPr>
        <w:tc>
          <w:tcPr>
            <w:tcW w:w="0" w:type="auto"/>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096BC1" w:rsidRPr="00C8720F" w:rsidRDefault="00096BC1" w:rsidP="00C8720F">
            <w:pPr>
              <w:spacing w:after="0" w:line="240" w:lineRule="auto"/>
              <w:ind w:right="2520"/>
              <w:rPr>
                <w:rFonts w:ascii="Georgia" w:eastAsia="Times New Roman" w:hAnsi="Georgia" w:cs="Times New Roman"/>
                <w:sz w:val="15"/>
                <w:szCs w:val="15"/>
              </w:rPr>
            </w:pPr>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By:</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pBdr>
                <w:bottom w:val="single" w:sz="6" w:space="0" w:color="000000"/>
              </w:pBdr>
              <w:spacing w:after="15"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/s/ Michael E. </w:t>
            </w:r>
            <w:proofErr w:type="spellStart"/>
            <w:r w:rsidRPr="00C8720F">
              <w:rPr>
                <w:rFonts w:ascii="Georgia" w:eastAsia="Times New Roman" w:hAnsi="Georgia" w:cs="Times New Roman"/>
                <w:sz w:val="15"/>
                <w:szCs w:val="15"/>
              </w:rPr>
              <w:t>Tregoning</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Name: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xml:space="preserve">Michael E. </w:t>
            </w:r>
            <w:proofErr w:type="spellStart"/>
            <w:r w:rsidRPr="00C8720F">
              <w:rPr>
                <w:rFonts w:ascii="Georgia" w:eastAsia="Times New Roman" w:hAnsi="Georgia" w:cs="Times New Roman"/>
                <w:sz w:val="15"/>
                <w:szCs w:val="15"/>
              </w:rPr>
              <w:t>Tregoning</w:t>
            </w:r>
            <w:proofErr w:type="spellEnd"/>
          </w:p>
        </w:tc>
      </w:tr>
      <w:tr w:rsidR="00096BC1" w:rsidRPr="00C8720F" w:rsidTr="00096BC1">
        <w:trPr>
          <w:tblCellSpacing w:w="0" w:type="dxa"/>
          <w:jc w:val="right"/>
        </w:trPr>
        <w:tc>
          <w:tcPr>
            <w:tcW w:w="0" w:type="auto"/>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Title:</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 </w:t>
            </w:r>
          </w:p>
        </w:tc>
        <w:tc>
          <w:tcPr>
            <w:tcW w:w="0" w:type="auto"/>
            <w:vAlign w:val="bottom"/>
            <w:hideMark/>
          </w:tcPr>
          <w:p w:rsidR="00096BC1" w:rsidRPr="00C8720F" w:rsidRDefault="00096BC1"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t>Chief Financial Officer</w:t>
            </w: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3"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A</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SERIES </w:t>
      </w:r>
      <w:proofErr w:type="gramStart"/>
      <w:r w:rsidRPr="00C8720F">
        <w:rPr>
          <w:rFonts w:ascii="Georgia" w:eastAsia="Times New Roman" w:hAnsi="Georgia" w:cs="Arial"/>
          <w:b/>
          <w:bCs/>
          <w:color w:val="333333"/>
          <w:sz w:val="15"/>
          <w:szCs w:val="15"/>
        </w:rPr>
        <w:t>A</w:t>
      </w:r>
      <w:proofErr w:type="gramEnd"/>
      <w:r w:rsidRPr="00C8720F">
        <w:rPr>
          <w:rFonts w:ascii="Georgia" w:eastAsia="Times New Roman" w:hAnsi="Georgia" w:cs="Arial"/>
          <w:b/>
          <w:bCs/>
          <w:color w:val="333333"/>
          <w:sz w:val="15"/>
          <w:szCs w:val="15"/>
        </w:rPr>
        <w:t xml:space="preserve"> INVESTORS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A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IX,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Chief Financial Officer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2735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CMEA Ventures VI, L.P.</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Attn: Meryl L. </w:t>
            </w:r>
            <w:proofErr w:type="spellStart"/>
            <w:r w:rsidRPr="00C8720F">
              <w:rPr>
                <w:rFonts w:ascii="Georgia" w:eastAsia="Times New Roman" w:hAnsi="Georgia" w:cs="Arial"/>
                <w:color w:val="333333"/>
                <w:sz w:val="15"/>
                <w:szCs w:val="15"/>
              </w:rPr>
              <w:t>Schreibstein</w:t>
            </w:r>
            <w:proofErr w:type="spellEnd"/>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 Suite 3250</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GmbH &amp; Co. K.G.</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Attn: Meryl L. </w:t>
            </w:r>
            <w:proofErr w:type="spellStart"/>
            <w:r w:rsidRPr="00C8720F">
              <w:rPr>
                <w:rFonts w:ascii="Georgia" w:eastAsia="Times New Roman" w:hAnsi="Georgia" w:cs="Arial"/>
                <w:color w:val="333333"/>
                <w:sz w:val="15"/>
                <w:szCs w:val="15"/>
              </w:rPr>
              <w:t>Schreibstein</w:t>
            </w:r>
            <w:proofErr w:type="spellEnd"/>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 Suite 3250</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Ventures II, L.P.</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Attn: Lars Pedersen</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 2-290</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Associates II, LLC</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 2-290</w:t>
            </w:r>
          </w:p>
          <w:p w:rsidR="00096BC1" w:rsidRPr="00C8720F" w:rsidRDefault="00096BC1" w:rsidP="00C8720F">
            <w:pPr>
              <w:spacing w:after="0" w:line="240" w:lineRule="auto"/>
              <w:ind w:left="240" w:right="2520" w:hanging="24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proofErr w:type="spellStart"/>
      <w:proofErr w:type="gramStart"/>
      <w:r w:rsidRPr="00C8720F">
        <w:rPr>
          <w:rFonts w:ascii="Georgia" w:eastAsia="Times New Roman" w:hAnsi="Georgia" w:cs="Arial"/>
          <w:color w:val="333333"/>
          <w:sz w:val="15"/>
          <w:szCs w:val="15"/>
        </w:rPr>
        <w:t>i</w:t>
      </w:r>
      <w:proofErr w:type="spellEnd"/>
      <w:proofErr w:type="gramEnd"/>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4"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B</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SERIES B INVESTORS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B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Rockport Capital Partners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160 Federal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18th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Pinnacle Ventures II-A,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130 Lytton Ave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220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Palo Alto, CA 94301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Pinnacle Ventures II-B,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130 Lytton Ave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220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Palo Alto, CA 94301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Pinnacle Ventures II-C,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130 Lytton Ave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220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Palo Alto, CA 94301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Pinnacle Ventures II-R,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130 Lytton Ave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220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Palo Alto, CA 94301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 GMBH &amp; CO. K.G.</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lastRenderedPageBreak/>
              <w:t>Redpoint</w:t>
            </w:r>
            <w:proofErr w:type="spellEnd"/>
            <w:r w:rsidRPr="00C8720F">
              <w:rPr>
                <w:rFonts w:ascii="Georgia" w:eastAsia="Times New Roman" w:hAnsi="Georgia" w:cs="Arial"/>
                <w:b/>
                <w:bCs/>
                <w:color w:val="333333"/>
                <w:sz w:val="15"/>
                <w:szCs w:val="15"/>
              </w:rPr>
              <w:t xml:space="preserve"> Ventures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ii</w:t>
      </w:r>
      <w:proofErr w:type="gramEnd"/>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5"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B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Associates II,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IX,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2735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Argonaut Ventures 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155 </w:t>
            </w:r>
            <w:proofErr w:type="spellStart"/>
            <w:r w:rsidRPr="00C8720F">
              <w:rPr>
                <w:rFonts w:ascii="Georgia" w:eastAsia="Times New Roman" w:hAnsi="Georgia" w:cs="Arial"/>
                <w:color w:val="333333"/>
                <w:sz w:val="15"/>
                <w:szCs w:val="15"/>
              </w:rPr>
              <w:t>Bodwell</w:t>
            </w:r>
            <w:proofErr w:type="spellEnd"/>
            <w:r w:rsidRPr="00C8720F">
              <w:rPr>
                <w:rFonts w:ascii="Georgia" w:eastAsia="Times New Roman" w:hAnsi="Georgia" w:cs="Arial"/>
                <w:color w:val="333333"/>
                <w:sz w:val="15"/>
                <w:szCs w:val="15"/>
              </w:rPr>
              <w:t xml:space="preserve">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Avon, MA 02322</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KFN PEI VIII,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555 California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50th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KKR Strategic Capital Fund,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555 California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50th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KKR Strategic Capital Overseas Fund, Ltd.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555 California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50th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KKR Strategic Capital Institutional Fund, Ltd.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555 California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50th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Madrone</w:t>
            </w:r>
            <w:proofErr w:type="spellEnd"/>
            <w:r w:rsidRPr="00C8720F">
              <w:rPr>
                <w:rFonts w:ascii="Georgia" w:eastAsia="Times New Roman" w:hAnsi="Georgia" w:cs="Arial"/>
                <w:b/>
                <w:bCs/>
                <w:color w:val="333333"/>
                <w:sz w:val="15"/>
                <w:szCs w:val="15"/>
              </w:rPr>
              <w:t xml:space="preserve">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Madrone</w:t>
            </w:r>
            <w:proofErr w:type="spellEnd"/>
            <w:r w:rsidRPr="00C8720F">
              <w:rPr>
                <w:rFonts w:ascii="Georgia" w:eastAsia="Times New Roman" w:hAnsi="Georgia" w:cs="Arial"/>
                <w:color w:val="333333"/>
                <w:sz w:val="15"/>
                <w:szCs w:val="15"/>
              </w:rPr>
              <w:t xml:space="preserve"> Capital Partners</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150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96BC1" w:rsidP="00C8720F">
      <w:pPr>
        <w:shd w:val="clear" w:color="auto" w:fill="FFFFFF"/>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w: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iii</w:t>
      </w:r>
      <w:proofErr w:type="gramEnd"/>
    </w:p>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6"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C</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SERIES C-1 INVESTORS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C-1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Masdar</w:t>
            </w:r>
            <w:proofErr w:type="spellEnd"/>
            <w:r w:rsidRPr="00C8720F">
              <w:rPr>
                <w:rFonts w:ascii="Georgia" w:eastAsia="Times New Roman" w:hAnsi="Georgia" w:cs="Arial"/>
                <w:b/>
                <w:bCs/>
                <w:color w:val="333333"/>
                <w:sz w:val="15"/>
                <w:szCs w:val="15"/>
              </w:rPr>
              <w:t xml:space="preserve"> Clean Tech Fund,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c/o Credit Suisse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Attn: Jason </w:t>
            </w:r>
            <w:proofErr w:type="spellStart"/>
            <w:r w:rsidRPr="00C8720F">
              <w:rPr>
                <w:rFonts w:ascii="Georgia" w:eastAsia="Times New Roman" w:hAnsi="Georgia" w:cs="Arial"/>
                <w:color w:val="333333"/>
                <w:sz w:val="15"/>
                <w:szCs w:val="15"/>
              </w:rPr>
              <w:t>Karlinsky</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Eleven Madison Avenue, </w:t>
            </w:r>
            <w:r w:rsidRPr="00C8720F">
              <w:rPr>
                <w:rFonts w:ascii="Georgia" w:eastAsia="Times New Roman" w:hAnsi="Georgia" w:cs="Arial"/>
                <w:color w:val="333333"/>
                <w:sz w:val="15"/>
                <w:szCs w:val="15"/>
              </w:rPr>
              <w:lastRenderedPageBreak/>
              <w:t>16th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Tel: (212) 325-2266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Fax: (646) 935-7499</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Email: jason.karlinsky@credit-suisse.com</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VIRGIN GREEN FUND 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Walkers House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87 Mary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Grand Cayman KY1-9002</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With a copy to:</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VGF Advisers (US)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 South Park, Suite 200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94107</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IX,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Chief Financial Officer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2735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Attn: Meryl L. </w:t>
            </w:r>
            <w:proofErr w:type="spellStart"/>
            <w:r w:rsidRPr="00C8720F">
              <w:rPr>
                <w:rFonts w:ascii="Georgia" w:eastAsia="Times New Roman" w:hAnsi="Georgia" w:cs="Arial"/>
                <w:color w:val="333333"/>
                <w:sz w:val="15"/>
                <w:szCs w:val="15"/>
              </w:rPr>
              <w:t>Schreibstein</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 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GmbH &amp; Co. K.G.</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Attn: Meryl L. </w:t>
            </w:r>
            <w:proofErr w:type="spellStart"/>
            <w:r w:rsidRPr="00C8720F">
              <w:rPr>
                <w:rFonts w:ascii="Georgia" w:eastAsia="Times New Roman" w:hAnsi="Georgia" w:cs="Arial"/>
                <w:color w:val="333333"/>
                <w:sz w:val="15"/>
                <w:szCs w:val="15"/>
              </w:rPr>
              <w:t>Schreibstein</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 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Ventures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Lars Pedersen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 2-290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7"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C-1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Associates II,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 2-290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Rockport Capital Partners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Rockport Capital Partners</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160 Federal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18</w:t>
            </w:r>
            <w:r w:rsidRPr="00C8720F">
              <w:rPr>
                <w:rFonts w:ascii="Georgia" w:eastAsia="Times New Roman" w:hAnsi="Georgia" w:cs="Arial"/>
                <w:color w:val="333333"/>
                <w:sz w:val="15"/>
                <w:szCs w:val="15"/>
                <w:vertAlign w:val="superscript"/>
              </w:rPr>
              <w:t>th</w:t>
            </w:r>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Argonaut Ventures 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155 </w:t>
            </w:r>
            <w:proofErr w:type="spellStart"/>
            <w:r w:rsidRPr="00C8720F">
              <w:rPr>
                <w:rFonts w:ascii="Georgia" w:eastAsia="Times New Roman" w:hAnsi="Georgia" w:cs="Arial"/>
                <w:color w:val="333333"/>
                <w:sz w:val="15"/>
                <w:szCs w:val="15"/>
              </w:rPr>
              <w:t>Bodwell</w:t>
            </w:r>
            <w:proofErr w:type="spellEnd"/>
            <w:r w:rsidRPr="00C8720F">
              <w:rPr>
                <w:rFonts w:ascii="Georgia" w:eastAsia="Times New Roman" w:hAnsi="Georgia" w:cs="Arial"/>
                <w:color w:val="333333"/>
                <w:sz w:val="15"/>
                <w:szCs w:val="15"/>
              </w:rPr>
              <w:t xml:space="preserve">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Avon, MA 02322</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KKR Financial Corp.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555 California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50</w:t>
            </w:r>
            <w:r w:rsidRPr="00C8720F">
              <w:rPr>
                <w:rFonts w:ascii="Georgia" w:eastAsia="Times New Roman" w:hAnsi="Georgia" w:cs="Arial"/>
                <w:color w:val="333333"/>
                <w:sz w:val="15"/>
                <w:szCs w:val="15"/>
                <w:vertAlign w:val="superscript"/>
              </w:rPr>
              <w:t>th</w:t>
            </w:r>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KKR Strategic Capital </w:t>
            </w:r>
            <w:r w:rsidRPr="00C8720F">
              <w:rPr>
                <w:rFonts w:ascii="Georgia" w:eastAsia="Times New Roman" w:hAnsi="Georgia" w:cs="Arial"/>
                <w:b/>
                <w:bCs/>
                <w:color w:val="333333"/>
                <w:sz w:val="15"/>
                <w:szCs w:val="15"/>
              </w:rPr>
              <w:lastRenderedPageBreak/>
              <w:t>Fund,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555 California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50</w:t>
            </w:r>
            <w:r w:rsidRPr="00C8720F">
              <w:rPr>
                <w:rFonts w:ascii="Georgia" w:eastAsia="Times New Roman" w:hAnsi="Georgia" w:cs="Arial"/>
                <w:color w:val="333333"/>
                <w:sz w:val="15"/>
                <w:szCs w:val="15"/>
                <w:vertAlign w:val="superscript"/>
              </w:rPr>
              <w:t>th</w:t>
            </w:r>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KKR Strategic Capital Overseas Fund, Ltd.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555 California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50</w:t>
            </w:r>
            <w:r w:rsidRPr="00C8720F">
              <w:rPr>
                <w:rFonts w:ascii="Georgia" w:eastAsia="Times New Roman" w:hAnsi="Georgia" w:cs="Arial"/>
                <w:color w:val="333333"/>
                <w:sz w:val="15"/>
                <w:szCs w:val="15"/>
                <w:vertAlign w:val="superscript"/>
              </w:rPr>
              <w:t>th</w:t>
            </w:r>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KKR Strategic Capital Institutional Fund, Ltd.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555 California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50</w:t>
            </w:r>
            <w:r w:rsidRPr="00C8720F">
              <w:rPr>
                <w:rFonts w:ascii="Georgia" w:eastAsia="Times New Roman" w:hAnsi="Georgia" w:cs="Arial"/>
                <w:color w:val="333333"/>
                <w:sz w:val="15"/>
                <w:szCs w:val="15"/>
                <w:vertAlign w:val="superscript"/>
              </w:rPr>
              <w:t>th</w:t>
            </w:r>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Madrone</w:t>
            </w:r>
            <w:proofErr w:type="spellEnd"/>
            <w:r w:rsidRPr="00C8720F">
              <w:rPr>
                <w:rFonts w:ascii="Georgia" w:eastAsia="Times New Roman" w:hAnsi="Georgia" w:cs="Arial"/>
                <w:b/>
                <w:bCs/>
                <w:color w:val="333333"/>
                <w:sz w:val="15"/>
                <w:szCs w:val="15"/>
              </w:rPr>
              <w:t xml:space="preserve">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Madrone</w:t>
            </w:r>
            <w:proofErr w:type="spellEnd"/>
            <w:r w:rsidRPr="00C8720F">
              <w:rPr>
                <w:rFonts w:ascii="Georgia" w:eastAsia="Times New Roman" w:hAnsi="Georgia" w:cs="Arial"/>
                <w:color w:val="333333"/>
                <w:sz w:val="15"/>
                <w:szCs w:val="15"/>
              </w:rPr>
              <w:t xml:space="preserve"> Capital Partners</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Cooley </w:t>
            </w:r>
            <w:proofErr w:type="spellStart"/>
            <w:r w:rsidRPr="00C8720F">
              <w:rPr>
                <w:rFonts w:ascii="Georgia" w:eastAsia="Times New Roman" w:hAnsi="Georgia" w:cs="Arial"/>
                <w:color w:val="333333"/>
                <w:sz w:val="15"/>
                <w:szCs w:val="15"/>
              </w:rPr>
              <w:t>Godward</w:t>
            </w:r>
            <w:proofErr w:type="spellEnd"/>
            <w:r w:rsidRPr="00C8720F">
              <w:rPr>
                <w:rFonts w:ascii="Georgia" w:eastAsia="Times New Roman" w:hAnsi="Georgia" w:cs="Arial"/>
                <w:color w:val="333333"/>
                <w:sz w:val="15"/>
                <w:szCs w:val="15"/>
              </w:rPr>
              <w:t xml:space="preserve"> </w:t>
            </w:r>
            <w:proofErr w:type="spellStart"/>
            <w:r w:rsidRPr="00C8720F">
              <w:rPr>
                <w:rFonts w:ascii="Georgia" w:eastAsia="Times New Roman" w:hAnsi="Georgia" w:cs="Arial"/>
                <w:color w:val="333333"/>
                <w:sz w:val="15"/>
                <w:szCs w:val="15"/>
              </w:rPr>
              <w:t>Kronish</w:t>
            </w:r>
            <w:proofErr w:type="spellEnd"/>
            <w:r w:rsidRPr="00C8720F">
              <w:rPr>
                <w:rFonts w:ascii="Georgia" w:eastAsia="Times New Roman" w:hAnsi="Georgia" w:cs="Arial"/>
                <w:color w:val="333333"/>
                <w:sz w:val="15"/>
                <w:szCs w:val="15"/>
              </w:rPr>
              <w:t xml:space="preserve"> LLP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3175 Hanover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Palo Alto, CA 94306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HSH </w:t>
            </w:r>
            <w:proofErr w:type="spellStart"/>
            <w:r w:rsidRPr="00C8720F">
              <w:rPr>
                <w:rFonts w:ascii="Georgia" w:eastAsia="Times New Roman" w:hAnsi="Georgia" w:cs="Arial"/>
                <w:b/>
                <w:bCs/>
                <w:color w:val="333333"/>
                <w:sz w:val="15"/>
                <w:szCs w:val="15"/>
              </w:rPr>
              <w:t>Nordbank</w:t>
            </w:r>
            <w:proofErr w:type="spellEnd"/>
            <w:r w:rsidRPr="00C8720F">
              <w:rPr>
                <w:rFonts w:ascii="Georgia" w:eastAsia="Times New Roman" w:hAnsi="Georgia" w:cs="Arial"/>
                <w:b/>
                <w:bCs/>
                <w:color w:val="333333"/>
                <w:sz w:val="15"/>
                <w:szCs w:val="15"/>
              </w:rPr>
              <w:t xml:space="preserve"> AG, Cayman Islands Branch</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c/o</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HSH NORDBANK AG, New York Branch</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230 Park Avenue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NY 10169</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Mr. Steve </w:t>
            </w:r>
            <w:proofErr w:type="spellStart"/>
            <w:r w:rsidRPr="00C8720F">
              <w:rPr>
                <w:rFonts w:ascii="Georgia" w:eastAsia="Times New Roman" w:hAnsi="Georgia" w:cs="Arial"/>
                <w:b/>
                <w:bCs/>
                <w:color w:val="333333"/>
                <w:sz w:val="15"/>
                <w:szCs w:val="15"/>
              </w:rPr>
              <w:t>Kircher</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4080 </w:t>
            </w:r>
            <w:proofErr w:type="spellStart"/>
            <w:r w:rsidRPr="00C8720F">
              <w:rPr>
                <w:rFonts w:ascii="Georgia" w:eastAsia="Times New Roman" w:hAnsi="Georgia" w:cs="Arial"/>
                <w:color w:val="333333"/>
                <w:sz w:val="15"/>
                <w:szCs w:val="15"/>
              </w:rPr>
              <w:t>Cavitt</w:t>
            </w:r>
            <w:proofErr w:type="spellEnd"/>
            <w:r w:rsidRPr="00C8720F">
              <w:rPr>
                <w:rFonts w:ascii="Georgia" w:eastAsia="Times New Roman" w:hAnsi="Georgia" w:cs="Arial"/>
                <w:color w:val="333333"/>
                <w:sz w:val="15"/>
                <w:szCs w:val="15"/>
              </w:rPr>
              <w:t xml:space="preserve"> Stallman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100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Granite Bay CA 95746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8"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D</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SERIES C-2 INVESTORS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C-2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VIRGIN GREEN FUND 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Walkers House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87 Mary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Grand Cayman KY1-9002</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With a copy to:</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VGF Advisers (US)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 South Park, Suite 200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94107</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Masdar</w:t>
            </w:r>
            <w:proofErr w:type="spellEnd"/>
            <w:r w:rsidRPr="00C8720F">
              <w:rPr>
                <w:rFonts w:ascii="Georgia" w:eastAsia="Times New Roman" w:hAnsi="Georgia" w:cs="Arial"/>
                <w:b/>
                <w:bCs/>
                <w:color w:val="333333"/>
                <w:sz w:val="15"/>
                <w:szCs w:val="15"/>
              </w:rPr>
              <w:t xml:space="preserve"> Clean Tech Fund,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c/o Credit Suisse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Attn: Jason </w:t>
            </w:r>
            <w:proofErr w:type="spellStart"/>
            <w:r w:rsidRPr="00C8720F">
              <w:rPr>
                <w:rFonts w:ascii="Georgia" w:eastAsia="Times New Roman" w:hAnsi="Georgia" w:cs="Arial"/>
                <w:color w:val="333333"/>
                <w:sz w:val="15"/>
                <w:szCs w:val="15"/>
              </w:rPr>
              <w:t>Karlinsky</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Eleven Madison Avenue, 16th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Tel: (212) 325-2266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Fax: (646) 935-7499</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Email: jason.karlinsky@credit-suisse.com</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RockPort</w:t>
            </w:r>
            <w:proofErr w:type="spellEnd"/>
            <w:r w:rsidRPr="00C8720F">
              <w:rPr>
                <w:rFonts w:ascii="Georgia" w:eastAsia="Times New Roman" w:hAnsi="Georgia" w:cs="Arial"/>
                <w:b/>
                <w:bCs/>
                <w:color w:val="333333"/>
                <w:sz w:val="15"/>
                <w:szCs w:val="15"/>
              </w:rPr>
              <w:t xml:space="preserve"> Capital Partners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160 Federal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18th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CMEA Ventures VI,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 GMBH &amp; CO. K.G.</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Ventures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89"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C-2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Associates II,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IX,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CFO</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2735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Argonaut Ventures 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6733 South Yale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74136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w:t>
            </w:r>
            <w:proofErr w:type="spellStart"/>
            <w:r w:rsidRPr="00C8720F">
              <w:rPr>
                <w:rFonts w:ascii="Georgia" w:eastAsia="Times New Roman" w:hAnsi="Georgia" w:cs="Arial"/>
                <w:color w:val="333333"/>
                <w:sz w:val="15"/>
                <w:szCs w:val="15"/>
              </w:rPr>
              <w:t>Artis</w:t>
            </w:r>
            <w:proofErr w:type="spellEnd"/>
            <w:r w:rsidRPr="00C8720F">
              <w:rPr>
                <w:rFonts w:ascii="Georgia" w:eastAsia="Times New Roman" w:hAnsi="Georgia" w:cs="Arial"/>
                <w:color w:val="333333"/>
                <w:sz w:val="15"/>
                <w:szCs w:val="15"/>
              </w:rPr>
              <w:t xml:space="preserve"> Capital Management,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Market Plaza</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Spear Street Tower, Suite 1700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w:t>
            </w:r>
            <w:proofErr w:type="spellStart"/>
            <w:r w:rsidRPr="00C8720F">
              <w:rPr>
                <w:rFonts w:ascii="Georgia" w:eastAsia="Times New Roman" w:hAnsi="Georgia" w:cs="Arial"/>
                <w:color w:val="333333"/>
                <w:sz w:val="15"/>
                <w:szCs w:val="15"/>
              </w:rPr>
              <w:t>Artis</w:t>
            </w:r>
            <w:proofErr w:type="spellEnd"/>
            <w:r w:rsidRPr="00C8720F">
              <w:rPr>
                <w:rFonts w:ascii="Georgia" w:eastAsia="Times New Roman" w:hAnsi="Georgia" w:cs="Arial"/>
                <w:color w:val="333333"/>
                <w:sz w:val="15"/>
                <w:szCs w:val="15"/>
              </w:rPr>
              <w:t xml:space="preserve"> Capital Management,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Market Plaza</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Spear Street Tower, Suite 1700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Europe Master Fund,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lastRenderedPageBreak/>
        <w:pict>
          <v:rect id="_x0000_i1090"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C-2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Master Fund,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960"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Global Special Investment Master Fund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960"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Legend Trading S.A</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Maria </w:t>
            </w:r>
            <w:proofErr w:type="spellStart"/>
            <w:r w:rsidRPr="00C8720F">
              <w:rPr>
                <w:rFonts w:ascii="Georgia" w:eastAsia="Times New Roman" w:hAnsi="Georgia" w:cs="Arial"/>
                <w:color w:val="333333"/>
                <w:sz w:val="15"/>
                <w:szCs w:val="15"/>
              </w:rPr>
              <w:t>Dimitrou</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Iassonos</w:t>
            </w:r>
            <w:proofErr w:type="spellEnd"/>
            <w:r w:rsidRPr="00C8720F">
              <w:rPr>
                <w:rFonts w:ascii="Georgia" w:eastAsia="Times New Roman" w:hAnsi="Georgia" w:cs="Arial"/>
                <w:color w:val="333333"/>
                <w:sz w:val="15"/>
                <w:szCs w:val="15"/>
              </w:rPr>
              <w:t xml:space="preserve"> 3</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18537 Athens</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Greece</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Beltest</w:t>
            </w:r>
            <w:proofErr w:type="spellEnd"/>
            <w:r w:rsidRPr="00C8720F">
              <w:rPr>
                <w:rFonts w:ascii="Georgia" w:eastAsia="Times New Roman" w:hAnsi="Georgia" w:cs="Arial"/>
                <w:b/>
                <w:bCs/>
                <w:color w:val="333333"/>
                <w:sz w:val="15"/>
                <w:szCs w:val="15"/>
              </w:rPr>
              <w:t xml:space="preserve"> Shipping Company Limited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P.O.Box</w:t>
            </w:r>
            <w:proofErr w:type="spellEnd"/>
            <w:r w:rsidRPr="00C8720F">
              <w:rPr>
                <w:rFonts w:ascii="Georgia" w:eastAsia="Times New Roman" w:hAnsi="Georgia" w:cs="Arial"/>
                <w:color w:val="333333"/>
                <w:sz w:val="15"/>
                <w:szCs w:val="15"/>
              </w:rPr>
              <w:t xml:space="preserve"> 51161</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GR-145 10, </w:t>
            </w:r>
            <w:proofErr w:type="spellStart"/>
            <w:r w:rsidRPr="00C8720F">
              <w:rPr>
                <w:rFonts w:ascii="Georgia" w:eastAsia="Times New Roman" w:hAnsi="Georgia" w:cs="Arial"/>
                <w:color w:val="333333"/>
                <w:sz w:val="15"/>
                <w:szCs w:val="15"/>
              </w:rPr>
              <w:t>Kifissia</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Greece</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Plainfield Special Situations Master Fund Limited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c/o Plainfield Asset Management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 Railroad Ave, Plaza Level</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Greenwich, CT 06830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1"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E</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SERIES D INVESTORS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D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Argonaut Ventures 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6733 South Yale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74136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 GMBH &amp; CO. K.G.</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Masdar</w:t>
            </w:r>
            <w:proofErr w:type="spellEnd"/>
            <w:r w:rsidRPr="00C8720F">
              <w:rPr>
                <w:rFonts w:ascii="Georgia" w:eastAsia="Times New Roman" w:hAnsi="Georgia" w:cs="Arial"/>
                <w:b/>
                <w:bCs/>
                <w:color w:val="333333"/>
                <w:sz w:val="15"/>
                <w:szCs w:val="15"/>
              </w:rPr>
              <w:t xml:space="preserve"> Clean Tech Fund,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c/o Credit Suisse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Attn: Jason </w:t>
            </w:r>
            <w:proofErr w:type="spellStart"/>
            <w:r w:rsidRPr="00C8720F">
              <w:rPr>
                <w:rFonts w:ascii="Georgia" w:eastAsia="Times New Roman" w:hAnsi="Georgia" w:cs="Arial"/>
                <w:color w:val="333333"/>
                <w:sz w:val="15"/>
                <w:szCs w:val="15"/>
              </w:rPr>
              <w:t>Karlinsky</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Eleven Madison Avenue, 16th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Tel: (212) 325-2266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Fax: (646) 935-7499</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Email: jason.karlinsky@credit-suisse.com</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Europe Master Fund,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960"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2"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D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Master Fund,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960"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OZ Global Special Investment Master </w:t>
            </w:r>
            <w:r w:rsidRPr="00C8720F">
              <w:rPr>
                <w:rFonts w:ascii="Georgia" w:eastAsia="Times New Roman" w:hAnsi="Georgia" w:cs="Arial"/>
                <w:b/>
                <w:bCs/>
                <w:color w:val="333333"/>
                <w:sz w:val="15"/>
                <w:szCs w:val="15"/>
              </w:rPr>
              <w:lastRenderedPageBreak/>
              <w:t>Fund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960"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lastRenderedPageBreak/>
              <w:t>Redpoint</w:t>
            </w:r>
            <w:proofErr w:type="spellEnd"/>
            <w:r w:rsidRPr="00C8720F">
              <w:rPr>
                <w:rFonts w:ascii="Georgia" w:eastAsia="Times New Roman" w:hAnsi="Georgia" w:cs="Arial"/>
                <w:b/>
                <w:bCs/>
                <w:color w:val="333333"/>
                <w:sz w:val="15"/>
                <w:szCs w:val="15"/>
              </w:rPr>
              <w:t xml:space="preserve"> Ventures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Associates II,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IX,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CFO</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2735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3"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F</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BRIDGE INVESTORS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Bridge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Argonaut Ventures 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6733 South Yale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74136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Beltest</w:t>
            </w:r>
            <w:proofErr w:type="spellEnd"/>
            <w:r w:rsidRPr="00C8720F">
              <w:rPr>
                <w:rFonts w:ascii="Georgia" w:eastAsia="Times New Roman" w:hAnsi="Georgia" w:cs="Arial"/>
                <w:b/>
                <w:bCs/>
                <w:color w:val="333333"/>
                <w:sz w:val="15"/>
                <w:szCs w:val="15"/>
              </w:rPr>
              <w:t xml:space="preserve"> Shipping Company Limited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P.O.Box</w:t>
            </w:r>
            <w:proofErr w:type="spellEnd"/>
            <w:r w:rsidRPr="00C8720F">
              <w:rPr>
                <w:rFonts w:ascii="Georgia" w:eastAsia="Times New Roman" w:hAnsi="Georgia" w:cs="Arial"/>
                <w:color w:val="333333"/>
                <w:sz w:val="15"/>
                <w:szCs w:val="15"/>
              </w:rPr>
              <w:t xml:space="preserve"> 51161</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GR-145 10, </w:t>
            </w:r>
            <w:proofErr w:type="spellStart"/>
            <w:r w:rsidRPr="00C8720F">
              <w:rPr>
                <w:rFonts w:ascii="Georgia" w:eastAsia="Times New Roman" w:hAnsi="Georgia" w:cs="Arial"/>
                <w:color w:val="333333"/>
                <w:sz w:val="15"/>
                <w:szCs w:val="15"/>
              </w:rPr>
              <w:t>Kifissia</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Greece</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 GmbH &amp; Co. K.G.</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Madrone</w:t>
            </w:r>
            <w:proofErr w:type="spellEnd"/>
            <w:r w:rsidRPr="00C8720F">
              <w:rPr>
                <w:rFonts w:ascii="Georgia" w:eastAsia="Times New Roman" w:hAnsi="Georgia" w:cs="Arial"/>
                <w:b/>
                <w:bCs/>
                <w:color w:val="333333"/>
                <w:sz w:val="15"/>
                <w:szCs w:val="15"/>
              </w:rPr>
              <w:t xml:space="preserve">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Cooley </w:t>
            </w:r>
            <w:proofErr w:type="spellStart"/>
            <w:r w:rsidRPr="00C8720F">
              <w:rPr>
                <w:rFonts w:ascii="Georgia" w:eastAsia="Times New Roman" w:hAnsi="Georgia" w:cs="Arial"/>
                <w:color w:val="333333"/>
                <w:sz w:val="15"/>
                <w:szCs w:val="15"/>
              </w:rPr>
              <w:t>Godward</w:t>
            </w:r>
            <w:proofErr w:type="spellEnd"/>
            <w:r w:rsidRPr="00C8720F">
              <w:rPr>
                <w:rFonts w:ascii="Georgia" w:eastAsia="Times New Roman" w:hAnsi="Georgia" w:cs="Arial"/>
                <w:color w:val="333333"/>
                <w:sz w:val="15"/>
                <w:szCs w:val="15"/>
              </w:rPr>
              <w:t xml:space="preserve"> </w:t>
            </w:r>
            <w:proofErr w:type="spellStart"/>
            <w:r w:rsidRPr="00C8720F">
              <w:rPr>
                <w:rFonts w:ascii="Georgia" w:eastAsia="Times New Roman" w:hAnsi="Georgia" w:cs="Arial"/>
                <w:color w:val="333333"/>
                <w:sz w:val="15"/>
                <w:szCs w:val="15"/>
              </w:rPr>
              <w:t>Kronish</w:t>
            </w:r>
            <w:proofErr w:type="spellEnd"/>
            <w:r w:rsidRPr="00C8720F">
              <w:rPr>
                <w:rFonts w:ascii="Georgia" w:eastAsia="Times New Roman" w:hAnsi="Georgia" w:cs="Arial"/>
                <w:color w:val="333333"/>
                <w:sz w:val="15"/>
                <w:szCs w:val="15"/>
              </w:rPr>
              <w:t xml:space="preserve"> LLP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3175 Hanover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Palo Alto, CA 94306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Plainfield Special </w:t>
            </w:r>
            <w:r w:rsidRPr="00C8720F">
              <w:rPr>
                <w:rFonts w:ascii="Georgia" w:eastAsia="Times New Roman" w:hAnsi="Georgia" w:cs="Arial"/>
                <w:b/>
                <w:bCs/>
                <w:color w:val="333333"/>
                <w:sz w:val="15"/>
                <w:szCs w:val="15"/>
              </w:rPr>
              <w:lastRenderedPageBreak/>
              <w:t>Situations Master Fund Limited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c/o Plainfield Asset Management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 Railroad Ave, Plaza Level</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Greenwich, CT 06830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lastRenderedPageBreak/>
              <w:t>Redpoint</w:t>
            </w:r>
            <w:proofErr w:type="spellEnd"/>
            <w:r w:rsidRPr="00C8720F">
              <w:rPr>
                <w:rFonts w:ascii="Georgia" w:eastAsia="Times New Roman" w:hAnsi="Georgia" w:cs="Arial"/>
                <w:b/>
                <w:bCs/>
                <w:color w:val="333333"/>
                <w:sz w:val="15"/>
                <w:szCs w:val="15"/>
              </w:rPr>
              <w:t xml:space="preserve"> Ventures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Associates II,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RockPort</w:t>
            </w:r>
            <w:proofErr w:type="spellEnd"/>
            <w:r w:rsidRPr="00C8720F">
              <w:rPr>
                <w:rFonts w:ascii="Georgia" w:eastAsia="Times New Roman" w:hAnsi="Georgia" w:cs="Arial"/>
                <w:b/>
                <w:bCs/>
                <w:color w:val="333333"/>
                <w:sz w:val="15"/>
                <w:szCs w:val="15"/>
              </w:rPr>
              <w:t xml:space="preserve"> Capital Partners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160 Federal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18th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4"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RockPort</w:t>
            </w:r>
            <w:proofErr w:type="spellEnd"/>
            <w:r w:rsidRPr="00C8720F">
              <w:rPr>
                <w:rFonts w:ascii="Georgia" w:eastAsia="Times New Roman" w:hAnsi="Georgia" w:cs="Arial"/>
                <w:b/>
                <w:bCs/>
                <w:color w:val="333333"/>
                <w:sz w:val="15"/>
                <w:szCs w:val="15"/>
              </w:rPr>
              <w:t xml:space="preserve"> Capital Partners III,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160 Federal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18th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IX,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CFO</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2735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VIRGIN GREEN FUND 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Walkers House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87 Mary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Grand Cayman KY1-9002</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With a copy to:</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VGF Advisers (US)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 South Park, Suite 200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94107</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5"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G</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SERIES E INVESTORS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E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Argonaut Ventures 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6733 South Yale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74136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2X, L.P.</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(Institutional), L.P.</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2X (Institutional), L.P.</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2X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w:t>
            </w:r>
            <w:proofErr w:type="spellStart"/>
            <w:r w:rsidRPr="00C8720F">
              <w:rPr>
                <w:rFonts w:ascii="Georgia" w:eastAsia="Times New Roman" w:hAnsi="Georgia" w:cs="Arial"/>
                <w:color w:val="333333"/>
                <w:sz w:val="15"/>
                <w:szCs w:val="15"/>
              </w:rPr>
              <w:t>Artis</w:t>
            </w:r>
            <w:proofErr w:type="spellEnd"/>
            <w:r w:rsidRPr="00C8720F">
              <w:rPr>
                <w:rFonts w:ascii="Georgia" w:eastAsia="Times New Roman" w:hAnsi="Georgia" w:cs="Arial"/>
                <w:color w:val="333333"/>
                <w:sz w:val="15"/>
                <w:szCs w:val="15"/>
              </w:rPr>
              <w:t xml:space="preserve"> Capital Management,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One Market Plaza</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Spear Street Tower, Suite 1700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lastRenderedPageBreak/>
              <w:t>Beltest</w:t>
            </w:r>
            <w:proofErr w:type="spellEnd"/>
            <w:r w:rsidRPr="00C8720F">
              <w:rPr>
                <w:rFonts w:ascii="Georgia" w:eastAsia="Times New Roman" w:hAnsi="Georgia" w:cs="Arial"/>
                <w:b/>
                <w:bCs/>
                <w:color w:val="333333"/>
                <w:sz w:val="15"/>
                <w:szCs w:val="15"/>
              </w:rPr>
              <w:t xml:space="preserve"> Shipping Company Limited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P.O.Box</w:t>
            </w:r>
            <w:proofErr w:type="spellEnd"/>
            <w:r w:rsidRPr="00C8720F">
              <w:rPr>
                <w:rFonts w:ascii="Georgia" w:eastAsia="Times New Roman" w:hAnsi="Georgia" w:cs="Arial"/>
                <w:color w:val="333333"/>
                <w:sz w:val="15"/>
                <w:szCs w:val="15"/>
              </w:rPr>
              <w:t xml:space="preserve"> 51161</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GR-145 10, </w:t>
            </w:r>
            <w:proofErr w:type="spellStart"/>
            <w:r w:rsidRPr="00C8720F">
              <w:rPr>
                <w:rFonts w:ascii="Georgia" w:eastAsia="Times New Roman" w:hAnsi="Georgia" w:cs="Arial"/>
                <w:color w:val="333333"/>
                <w:sz w:val="15"/>
                <w:szCs w:val="15"/>
              </w:rPr>
              <w:t>Kifissia</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Greece</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 L.P., GmbH &amp; Co. K.G.</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GKFF Investment Company,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6733 South Yale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74136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Madrone</w:t>
            </w:r>
            <w:proofErr w:type="spellEnd"/>
            <w:r w:rsidRPr="00C8720F">
              <w:rPr>
                <w:rFonts w:ascii="Georgia" w:eastAsia="Times New Roman" w:hAnsi="Georgia" w:cs="Arial"/>
                <w:b/>
                <w:bCs/>
                <w:color w:val="333333"/>
                <w:sz w:val="15"/>
                <w:szCs w:val="15"/>
              </w:rPr>
              <w:t xml:space="preserve">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Cooley </w:t>
            </w:r>
            <w:proofErr w:type="spellStart"/>
            <w:r w:rsidRPr="00C8720F">
              <w:rPr>
                <w:rFonts w:ascii="Georgia" w:eastAsia="Times New Roman" w:hAnsi="Georgia" w:cs="Arial"/>
                <w:color w:val="333333"/>
                <w:sz w:val="15"/>
                <w:szCs w:val="15"/>
              </w:rPr>
              <w:t>Godward</w:t>
            </w:r>
            <w:proofErr w:type="spellEnd"/>
            <w:r w:rsidRPr="00C8720F">
              <w:rPr>
                <w:rFonts w:ascii="Georgia" w:eastAsia="Times New Roman" w:hAnsi="Georgia" w:cs="Arial"/>
                <w:color w:val="333333"/>
                <w:sz w:val="15"/>
                <w:szCs w:val="15"/>
              </w:rPr>
              <w:t xml:space="preserve"> </w:t>
            </w:r>
            <w:proofErr w:type="spellStart"/>
            <w:r w:rsidRPr="00C8720F">
              <w:rPr>
                <w:rFonts w:ascii="Georgia" w:eastAsia="Times New Roman" w:hAnsi="Georgia" w:cs="Arial"/>
                <w:color w:val="333333"/>
                <w:sz w:val="15"/>
                <w:szCs w:val="15"/>
              </w:rPr>
              <w:t>Kronish</w:t>
            </w:r>
            <w:proofErr w:type="spellEnd"/>
            <w:r w:rsidRPr="00C8720F">
              <w:rPr>
                <w:rFonts w:ascii="Georgia" w:eastAsia="Times New Roman" w:hAnsi="Georgia" w:cs="Arial"/>
                <w:color w:val="333333"/>
                <w:sz w:val="15"/>
                <w:szCs w:val="15"/>
              </w:rPr>
              <w:t xml:space="preserve"> LLP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3175 Hanover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Palo Alto, CA 94306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6"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E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Masdar</w:t>
            </w:r>
            <w:proofErr w:type="spellEnd"/>
            <w:r w:rsidRPr="00C8720F">
              <w:rPr>
                <w:rFonts w:ascii="Georgia" w:eastAsia="Times New Roman" w:hAnsi="Georgia" w:cs="Arial"/>
                <w:b/>
                <w:bCs/>
                <w:color w:val="333333"/>
                <w:sz w:val="15"/>
                <w:szCs w:val="15"/>
              </w:rPr>
              <w:t xml:space="preserve"> Clean Tech Fund,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c/o Credit Suisse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Attn: Jason </w:t>
            </w:r>
            <w:proofErr w:type="spellStart"/>
            <w:r w:rsidRPr="00C8720F">
              <w:rPr>
                <w:rFonts w:ascii="Georgia" w:eastAsia="Times New Roman" w:hAnsi="Georgia" w:cs="Arial"/>
                <w:color w:val="333333"/>
                <w:sz w:val="15"/>
                <w:szCs w:val="15"/>
              </w:rPr>
              <w:t>Karlinsky</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Eleven Madison Avenue, 16th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Tel: (212) 325-2266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Fax: (646) 935-7499</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Email: jason.karlinsky@credit-suisse.com</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Europe Master Fund,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960"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Master Fund,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960"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OZ Global Special Investment Master Fund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gramStart"/>
            <w:r w:rsidRPr="00C8720F">
              <w:rPr>
                <w:rFonts w:ascii="Georgia" w:eastAsia="Times New Roman" w:hAnsi="Georgia" w:cs="Arial"/>
                <w:color w:val="333333"/>
                <w:sz w:val="15"/>
                <w:szCs w:val="15"/>
              </w:rPr>
              <w:t>c/o</w:t>
            </w:r>
            <w:proofErr w:type="gramEnd"/>
            <w:r w:rsidRPr="00C8720F">
              <w:rPr>
                <w:rFonts w:ascii="Georgia" w:eastAsia="Times New Roman" w:hAnsi="Georgia" w:cs="Arial"/>
                <w:color w:val="333333"/>
                <w:sz w:val="15"/>
                <w:szCs w:val="15"/>
              </w:rPr>
              <w:t xml:space="preserve"> Goldman Sachs (Cayman) Trust,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Harbour</w:t>
            </w:r>
            <w:proofErr w:type="spellEnd"/>
            <w:r w:rsidRPr="00C8720F">
              <w:rPr>
                <w:rFonts w:ascii="Georgia" w:eastAsia="Times New Roman" w:hAnsi="Georgia" w:cs="Arial"/>
                <w:color w:val="333333"/>
                <w:sz w:val="15"/>
                <w:szCs w:val="15"/>
              </w:rPr>
              <w:t xml:space="preserve"> Centre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 Box 896</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 Grand Cayman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Notice Address: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c/o </w:t>
            </w:r>
            <w:proofErr w:type="spellStart"/>
            <w:r w:rsidRPr="00C8720F">
              <w:rPr>
                <w:rFonts w:ascii="Georgia" w:eastAsia="Times New Roman" w:hAnsi="Georgia" w:cs="Arial"/>
                <w:color w:val="333333"/>
                <w:sz w:val="15"/>
                <w:szCs w:val="15"/>
              </w:rPr>
              <w:t>Och</w:t>
            </w:r>
            <w:proofErr w:type="spellEnd"/>
            <w:r w:rsidRPr="00C8720F">
              <w:rPr>
                <w:rFonts w:ascii="Georgia" w:eastAsia="Times New Roman" w:hAnsi="Georgia" w:cs="Arial"/>
                <w:color w:val="333333"/>
                <w:sz w:val="15"/>
                <w:szCs w:val="15"/>
              </w:rPr>
              <w:t>-Ziff Capital Management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57th Street, 39th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New York 10019</w:t>
            </w:r>
          </w:p>
          <w:p w:rsidR="00096BC1" w:rsidRPr="00C8720F" w:rsidRDefault="00096BC1" w:rsidP="00C8720F">
            <w:pPr>
              <w:spacing w:after="0" w:line="240" w:lineRule="auto"/>
              <w:ind w:left="1200" w:right="2520" w:hanging="1200"/>
              <w:rPr>
                <w:rFonts w:ascii="Georgia" w:eastAsia="Times New Roman" w:hAnsi="Georgia" w:cs="Arial"/>
                <w:color w:val="333333"/>
                <w:sz w:val="15"/>
                <w:szCs w:val="15"/>
              </w:rPr>
            </w:pPr>
            <w:r w:rsidRPr="00C8720F">
              <w:rPr>
                <w:rFonts w:ascii="Georgia" w:eastAsia="Times New Roman" w:hAnsi="Georgia" w:cs="Arial"/>
                <w:color w:val="333333"/>
                <w:sz w:val="15"/>
                <w:szCs w:val="15"/>
              </w:rPr>
              <w:t>Attention:    Joel Frank</w:t>
            </w:r>
          </w:p>
          <w:p w:rsidR="00096BC1" w:rsidRPr="00C8720F" w:rsidRDefault="00096BC1" w:rsidP="00C8720F">
            <w:pPr>
              <w:spacing w:after="0" w:line="240" w:lineRule="auto"/>
              <w:ind w:left="960"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7"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E Investor: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Plainfield Special Situations Master Fund Limited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c/o Plainfield Asset Management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55 Railroad Ave, Plaza Level</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Greenwich, CT 06830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Ventures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Associates II,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RockPort</w:t>
            </w:r>
            <w:proofErr w:type="spellEnd"/>
            <w:r w:rsidRPr="00C8720F">
              <w:rPr>
                <w:rFonts w:ascii="Georgia" w:eastAsia="Times New Roman" w:hAnsi="Georgia" w:cs="Arial"/>
                <w:b/>
                <w:bCs/>
                <w:color w:val="333333"/>
                <w:sz w:val="15"/>
                <w:szCs w:val="15"/>
              </w:rPr>
              <w:t xml:space="preserve"> Capital Partners 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160 Federal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18th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RockPort</w:t>
            </w:r>
            <w:proofErr w:type="spellEnd"/>
            <w:r w:rsidRPr="00C8720F">
              <w:rPr>
                <w:rFonts w:ascii="Georgia" w:eastAsia="Times New Roman" w:hAnsi="Georgia" w:cs="Arial"/>
                <w:b/>
                <w:bCs/>
                <w:color w:val="333333"/>
                <w:sz w:val="15"/>
                <w:szCs w:val="15"/>
              </w:rPr>
              <w:t xml:space="preserve"> Capital Partners III,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160 Federal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18th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IX,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CFO</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2735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lastRenderedPageBreak/>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VIRGIN GREEN FUND 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Walkers House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87 Mary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George Town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Grand Cayman KY1-9002</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Cayman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With a copy to:</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VGF Advisers (US) LLC</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 South Park, Suite 200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94107</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8"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H</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SERIES F INVESTORS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F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Argonaut Ventures I, L.L.C.</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6733 South Yale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Oklahoma 74136</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2X, L.P.</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2X Ltd.</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(Institutional), LP</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Artis</w:t>
            </w:r>
            <w:proofErr w:type="spellEnd"/>
            <w:r w:rsidRPr="00C8720F">
              <w:rPr>
                <w:rFonts w:ascii="Georgia" w:eastAsia="Times New Roman" w:hAnsi="Georgia" w:cs="Arial"/>
                <w:b/>
                <w:bCs/>
                <w:color w:val="333333"/>
                <w:sz w:val="15"/>
                <w:szCs w:val="15"/>
              </w:rPr>
              <w:t xml:space="preserve"> Partners 2X (Institutional),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One Market Plaza</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Steuart</w:t>
            </w:r>
            <w:proofErr w:type="spellEnd"/>
            <w:r w:rsidRPr="00C8720F">
              <w:rPr>
                <w:rFonts w:ascii="Georgia" w:eastAsia="Times New Roman" w:hAnsi="Georgia" w:cs="Arial"/>
                <w:color w:val="333333"/>
                <w:sz w:val="15"/>
                <w:szCs w:val="15"/>
              </w:rPr>
              <w:t xml:space="preserve"> Street Tower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2700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94105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VII,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CMEA Ventures VII (Parallel),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 Embarcadero Center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94111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Girasole</w:t>
            </w:r>
            <w:proofErr w:type="spellEnd"/>
            <w:r w:rsidRPr="00C8720F">
              <w:rPr>
                <w:rFonts w:ascii="Georgia" w:eastAsia="Times New Roman" w:hAnsi="Georgia" w:cs="Arial"/>
                <w:b/>
                <w:bCs/>
                <w:color w:val="333333"/>
                <w:sz w:val="15"/>
                <w:szCs w:val="15"/>
              </w:rPr>
              <w:t xml:space="preserve"> Partners LLC</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4124 South Rockford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201</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74105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HBA Holdings, LLC</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3200 First National Tower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74103</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099"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F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Howard Hughes </w:t>
            </w:r>
            <w:r w:rsidRPr="00C8720F">
              <w:rPr>
                <w:rFonts w:ascii="Georgia" w:eastAsia="Times New Roman" w:hAnsi="Georgia" w:cs="Arial"/>
                <w:b/>
                <w:bCs/>
                <w:color w:val="333333"/>
                <w:sz w:val="15"/>
                <w:szCs w:val="15"/>
              </w:rPr>
              <w:lastRenderedPageBreak/>
              <w:t>Medical Institute</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4000 Jones Bridge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Chevy Chase, MD 20815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lastRenderedPageBreak/>
              <w:t>Hornthal</w:t>
            </w:r>
            <w:proofErr w:type="spellEnd"/>
            <w:r w:rsidRPr="00C8720F">
              <w:rPr>
                <w:rFonts w:ascii="Georgia" w:eastAsia="Times New Roman" w:hAnsi="Georgia" w:cs="Arial"/>
                <w:b/>
                <w:bCs/>
                <w:color w:val="333333"/>
                <w:sz w:val="15"/>
                <w:szCs w:val="15"/>
              </w:rPr>
              <w:t xml:space="preserve"> Investment Partners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2234 Beach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San Francisco, CA 94123</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James Gibbons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Redberry</w:t>
            </w:r>
            <w:proofErr w:type="spellEnd"/>
            <w:r w:rsidRPr="00C8720F">
              <w:rPr>
                <w:rFonts w:ascii="Georgia" w:eastAsia="Times New Roman" w:hAnsi="Georgia" w:cs="Arial"/>
                <w:color w:val="333333"/>
                <w:sz w:val="15"/>
                <w:szCs w:val="15"/>
              </w:rPr>
              <w:t xml:space="preserve"> Ridge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Portola Valley, CA 94028</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KC-Solar, LLC</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201 South College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1440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Charlotte, NC 28244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Keyword Company Limited</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Akara</w:t>
            </w:r>
            <w:proofErr w:type="spellEnd"/>
            <w:r w:rsidRPr="00C8720F">
              <w:rPr>
                <w:rFonts w:ascii="Georgia" w:eastAsia="Times New Roman" w:hAnsi="Georgia" w:cs="Arial"/>
                <w:color w:val="333333"/>
                <w:sz w:val="15"/>
                <w:szCs w:val="15"/>
              </w:rPr>
              <w:t xml:space="preserve"> Building</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24 De Castro Street</w:t>
            </w: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Wickhams</w:t>
            </w:r>
            <w:proofErr w:type="spellEnd"/>
            <w:r w:rsidRPr="00C8720F">
              <w:rPr>
                <w:rFonts w:ascii="Georgia" w:eastAsia="Times New Roman" w:hAnsi="Georgia" w:cs="Arial"/>
                <w:color w:val="333333"/>
                <w:sz w:val="15"/>
                <w:szCs w:val="15"/>
              </w:rPr>
              <w:t xml:space="preserve"> Cay I</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Road Town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Tortola</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British Virgin Islands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With a copy to:</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Keyword Company Limited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Equity Trust House,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28 - 30 The Parade,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St </w:t>
            </w:r>
            <w:proofErr w:type="spellStart"/>
            <w:r w:rsidRPr="00C8720F">
              <w:rPr>
                <w:rFonts w:ascii="Georgia" w:eastAsia="Times New Roman" w:hAnsi="Georgia" w:cs="Arial"/>
                <w:color w:val="333333"/>
                <w:sz w:val="15"/>
                <w:szCs w:val="15"/>
              </w:rPr>
              <w:t>Helier</w:t>
            </w:r>
            <w:proofErr w:type="spellEnd"/>
            <w:r w:rsidRPr="00C8720F">
              <w:rPr>
                <w:rFonts w:ascii="Georgia" w:eastAsia="Times New Roman" w:hAnsi="Georgia" w:cs="Arial"/>
                <w:color w:val="333333"/>
                <w:sz w:val="15"/>
                <w:szCs w:val="15"/>
              </w:rPr>
              <w: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Jersey JE1 1EQ</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Lenox Investments, L.L.C.</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2121 S. Columbia Ave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650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74114-3505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100"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F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Madrone</w:t>
            </w:r>
            <w:proofErr w:type="spellEnd"/>
            <w:r w:rsidRPr="00C8720F">
              <w:rPr>
                <w:rFonts w:ascii="Georgia" w:eastAsia="Times New Roman" w:hAnsi="Georgia" w:cs="Arial"/>
                <w:b/>
                <w:bCs/>
                <w:color w:val="333333"/>
                <w:sz w:val="15"/>
                <w:szCs w:val="15"/>
              </w:rPr>
              <w:t xml:space="preserve">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1, Suite 150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Maple Ave. Investors in </w:t>
            </w:r>
            <w:proofErr w:type="spellStart"/>
            <w:r w:rsidRPr="00C8720F">
              <w:rPr>
                <w:rFonts w:ascii="Georgia" w:eastAsia="Times New Roman" w:hAnsi="Georgia" w:cs="Arial"/>
                <w:b/>
                <w:bCs/>
                <w:color w:val="333333"/>
                <w:sz w:val="15"/>
                <w:szCs w:val="15"/>
              </w:rPr>
              <w:t>Solyndra</w:t>
            </w:r>
            <w:proofErr w:type="spellEnd"/>
            <w:r w:rsidRPr="00C8720F">
              <w:rPr>
                <w:rFonts w:ascii="Georgia" w:eastAsia="Times New Roman" w:hAnsi="Georgia" w:cs="Arial"/>
                <w:b/>
                <w:bCs/>
                <w:color w:val="333333"/>
                <w:sz w:val="15"/>
                <w:szCs w:val="15"/>
              </w:rPr>
              <w:t>, LLC</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3819 Maple Ave.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Dallas, TX 75219</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Global Special Investments Master Fund,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w:t>
            </w:r>
            <w:r w:rsidRPr="00C8720F">
              <w:rPr>
                <w:rFonts w:ascii="Georgia" w:eastAsia="Times New Roman" w:hAnsi="Georgia" w:cs="Arial"/>
                <w:color w:val="333333"/>
                <w:sz w:val="15"/>
                <w:szCs w:val="15"/>
                <w:vertAlign w:val="superscript"/>
              </w:rPr>
              <w:t>th</w:t>
            </w:r>
            <w:r w:rsidRPr="00C8720F">
              <w:rPr>
                <w:rFonts w:ascii="Georgia" w:eastAsia="Times New Roman" w:hAnsi="Georgia" w:cs="Arial"/>
                <w:color w:val="333333"/>
                <w:sz w:val="15"/>
                <w:szCs w:val="15"/>
              </w:rPr>
              <w:t>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39 </w:t>
            </w:r>
            <w:proofErr w:type="spellStart"/>
            <w:r w:rsidRPr="00C8720F">
              <w:rPr>
                <w:rFonts w:ascii="Georgia" w:eastAsia="Times New Roman" w:hAnsi="Georgia" w:cs="Arial"/>
                <w:color w:val="333333"/>
                <w:sz w:val="15"/>
                <w:szCs w:val="15"/>
                <w:vertAlign w:val="superscript"/>
              </w:rPr>
              <w:t>th</w:t>
            </w:r>
            <w:proofErr w:type="spellEnd"/>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NY 10019</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Joel Frank</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OZ Master Fund, Ltd.</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9 West 57</w:t>
            </w:r>
            <w:r w:rsidRPr="00C8720F">
              <w:rPr>
                <w:rFonts w:ascii="Georgia" w:eastAsia="Times New Roman" w:hAnsi="Georgia" w:cs="Arial"/>
                <w:color w:val="333333"/>
                <w:sz w:val="15"/>
                <w:szCs w:val="15"/>
                <w:vertAlign w:val="superscript"/>
              </w:rPr>
              <w:t>th</w:t>
            </w:r>
            <w:r w:rsidRPr="00C8720F">
              <w:rPr>
                <w:rFonts w:ascii="Georgia" w:eastAsia="Times New Roman" w:hAnsi="Georgia" w:cs="Arial"/>
                <w:color w:val="333333"/>
                <w:sz w:val="15"/>
                <w:szCs w:val="15"/>
              </w:rPr>
              <w:t>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39 </w:t>
            </w:r>
            <w:proofErr w:type="spellStart"/>
            <w:r w:rsidRPr="00C8720F">
              <w:rPr>
                <w:rFonts w:ascii="Georgia" w:eastAsia="Times New Roman" w:hAnsi="Georgia" w:cs="Arial"/>
                <w:color w:val="333333"/>
                <w:sz w:val="15"/>
                <w:szCs w:val="15"/>
                <w:vertAlign w:val="superscript"/>
              </w:rPr>
              <w:t>th</w:t>
            </w:r>
            <w:proofErr w:type="spellEnd"/>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New York, NY 10019</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Attn: Joel Frank</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Rick Lyon</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 xml:space="preserve">Phil </w:t>
            </w:r>
            <w:proofErr w:type="spellStart"/>
            <w:r w:rsidRPr="00C8720F">
              <w:rPr>
                <w:rFonts w:ascii="Georgia" w:eastAsia="Times New Roman" w:hAnsi="Georgia" w:cs="Arial"/>
                <w:b/>
                <w:bCs/>
                <w:color w:val="333333"/>
                <w:sz w:val="15"/>
                <w:szCs w:val="15"/>
              </w:rPr>
              <w:t>Frohlich</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1924 South Utica, #1120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74104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Pinto Investment Partners,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1000 Main Street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3250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Houston, TX 77002</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Raymond J. Sims</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1270 University Avenue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Palo Alto, CA 94301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Ventures II,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101" style="width:468pt;height:2.25pt" o:hralign="center" o:hrstd="t" o:hrnoshade="t" o:hr="t" fillcolor="#999" stroked="f"/>
        </w:pict>
      </w: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Series F Investors:</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b/>
                <w:bCs/>
                <w:color w:val="333333"/>
                <w:sz w:val="15"/>
                <w:szCs w:val="15"/>
              </w:rPr>
              <w:t>Redpoint</w:t>
            </w:r>
            <w:proofErr w:type="spellEnd"/>
            <w:r w:rsidRPr="00C8720F">
              <w:rPr>
                <w:rFonts w:ascii="Georgia" w:eastAsia="Times New Roman" w:hAnsi="Georgia" w:cs="Arial"/>
                <w:b/>
                <w:bCs/>
                <w:color w:val="333333"/>
                <w:sz w:val="15"/>
                <w:szCs w:val="15"/>
              </w:rPr>
              <w:t xml:space="preserve"> Associates II, L.L.C.</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300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Building 2, Suite 290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Rockport Capital Partners II,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160 Federal St., 18 </w:t>
            </w:r>
            <w:proofErr w:type="spellStart"/>
            <w:r w:rsidRPr="00C8720F">
              <w:rPr>
                <w:rFonts w:ascii="Georgia" w:eastAsia="Times New Roman" w:hAnsi="Georgia" w:cs="Arial"/>
                <w:color w:val="333333"/>
                <w:sz w:val="15"/>
                <w:szCs w:val="15"/>
                <w:vertAlign w:val="superscript"/>
              </w:rPr>
              <w:t>th</w:t>
            </w:r>
            <w:proofErr w:type="spellEnd"/>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Rockport Capital Partners III,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160 Federal St., 18 </w:t>
            </w:r>
            <w:proofErr w:type="spellStart"/>
            <w:r w:rsidRPr="00C8720F">
              <w:rPr>
                <w:rFonts w:ascii="Georgia" w:eastAsia="Times New Roman" w:hAnsi="Georgia" w:cs="Arial"/>
                <w:color w:val="333333"/>
                <w:sz w:val="15"/>
                <w:szCs w:val="15"/>
                <w:vertAlign w:val="superscript"/>
              </w:rPr>
              <w:t>th</w:t>
            </w:r>
            <w:proofErr w:type="spellEnd"/>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Boston, MA 02110-1700</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Sera Solar Corporation</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proofErr w:type="spellStart"/>
            <w:r w:rsidRPr="00C8720F">
              <w:rPr>
                <w:rFonts w:ascii="Georgia" w:eastAsia="Times New Roman" w:hAnsi="Georgia" w:cs="Arial"/>
                <w:color w:val="333333"/>
                <w:sz w:val="15"/>
                <w:szCs w:val="15"/>
              </w:rPr>
              <w:t>Redberry</w:t>
            </w:r>
            <w:proofErr w:type="spellEnd"/>
            <w:r w:rsidRPr="00C8720F">
              <w:rPr>
                <w:rFonts w:ascii="Georgia" w:eastAsia="Times New Roman" w:hAnsi="Georgia" w:cs="Arial"/>
                <w:color w:val="333333"/>
                <w:sz w:val="15"/>
                <w:szCs w:val="15"/>
              </w:rPr>
              <w:t xml:space="preserve"> Ridge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Portola Valley, CA 94028</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Stacy Family Trust</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 West 2</w:t>
            </w:r>
            <w:r w:rsidRPr="00C8720F">
              <w:rPr>
                <w:rFonts w:ascii="Georgia" w:eastAsia="Times New Roman" w:hAnsi="Georgia" w:cs="Arial"/>
                <w:color w:val="333333"/>
                <w:sz w:val="15"/>
                <w:szCs w:val="15"/>
                <w:vertAlign w:val="superscript"/>
              </w:rPr>
              <w:t>nd</w:t>
            </w:r>
            <w:r w:rsidRPr="00C8720F">
              <w:rPr>
                <w:rFonts w:ascii="Georgia" w:eastAsia="Times New Roman" w:hAnsi="Georgia" w:cs="Arial"/>
                <w:color w:val="333333"/>
                <w:sz w:val="15"/>
                <w:szCs w:val="15"/>
              </w:rPr>
              <w:t> Street, 20</w:t>
            </w:r>
            <w:r w:rsidRPr="00C8720F">
              <w:rPr>
                <w:rFonts w:ascii="Georgia" w:eastAsia="Times New Roman" w:hAnsi="Georgia" w:cs="Arial"/>
                <w:color w:val="333333"/>
                <w:sz w:val="15"/>
                <w:szCs w:val="15"/>
                <w:vertAlign w:val="superscript"/>
              </w:rPr>
              <w:t>th</w:t>
            </w:r>
            <w:r w:rsidRPr="00C8720F">
              <w:rPr>
                <w:rFonts w:ascii="Georgia" w:eastAsia="Times New Roman" w:hAnsi="Georgia" w:cs="Arial"/>
                <w:color w:val="333333"/>
                <w:sz w:val="15"/>
                <w:szCs w:val="15"/>
              </w:rPr>
              <w:t> Floor</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Tulsa, OK 74103</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Sunbird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2100 McKinney Ave.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Suite 1780</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Dallas, TX 75201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VII,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 Venture Partners IX,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U.S. Venture Partners X,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USVP Entrepreneur Partners VII-A,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USVP Entrepreneur Partners VII-B,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USVP X Affiliates, L.P.</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2180 Associates Fund VII, L.P.</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2735 Sand Hill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Menlo Park, CA 94025</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lastRenderedPageBreak/>
              <w:t>Zeitgeist Capital LLC</w:t>
            </w:r>
          </w:p>
          <w:p w:rsidR="00096BC1" w:rsidRPr="00C8720F" w:rsidRDefault="00096BC1" w:rsidP="00C8720F">
            <w:pPr>
              <w:spacing w:after="0" w:line="240" w:lineRule="auto"/>
              <w:ind w:right="2520"/>
              <w:rPr>
                <w:rFonts w:ascii="Georgia" w:eastAsia="Times New Roman" w:hAnsi="Georgia" w:cs="Arial"/>
                <w:color w:val="333333"/>
                <w:sz w:val="15"/>
                <w:szCs w:val="15"/>
              </w:rPr>
            </w:pP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7557 Rambler Road</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Dallas, TX 75231</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2361F" w:rsidP="00C8720F">
      <w:pPr>
        <w:spacing w:after="0" w:line="240" w:lineRule="auto"/>
        <w:ind w:right="2520"/>
        <w:rPr>
          <w:rFonts w:ascii="Georgia" w:eastAsia="Times New Roman" w:hAnsi="Georgia" w:cs="Times New Roman"/>
          <w:sz w:val="15"/>
          <w:szCs w:val="15"/>
        </w:rPr>
      </w:pPr>
      <w:r w:rsidRPr="00C8720F">
        <w:rPr>
          <w:rFonts w:ascii="Georgia" w:eastAsia="Times New Roman" w:hAnsi="Georgia" w:cs="Times New Roman"/>
          <w:sz w:val="15"/>
          <w:szCs w:val="15"/>
        </w:rPr>
        <w:pict>
          <v:rect id="_x0000_i1102" style="width:468pt;height:2.25pt" o:hralign="center" o:hrstd="t" o:hrnoshade="t" o:hr="t" fillcolor="#999" stroked="f"/>
        </w:pict>
      </w:r>
    </w:p>
    <w:p w:rsidR="00096BC1" w:rsidRPr="00C8720F" w:rsidRDefault="00096BC1" w:rsidP="00C8720F">
      <w:pPr>
        <w:shd w:val="clear" w:color="auto" w:fill="FFFFFF"/>
        <w:spacing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u w:val="single"/>
        </w:rPr>
        <w:t>Schedule I</w:t>
      </w:r>
    </w:p>
    <w:p w:rsidR="00096BC1" w:rsidRPr="00C8720F" w:rsidRDefault="00096BC1" w:rsidP="00C8720F">
      <w:pPr>
        <w:shd w:val="clear" w:color="auto" w:fill="FFFFFF"/>
        <w:spacing w:before="180" w:after="0" w:line="240" w:lineRule="auto"/>
        <w:ind w:right="2520"/>
        <w:jc w:val="center"/>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COMMON HOLDERS</w:t>
      </w:r>
    </w:p>
    <w:p w:rsidR="00096BC1" w:rsidRPr="00C8720F" w:rsidRDefault="00096BC1" w:rsidP="00C8720F">
      <w:pPr>
        <w:spacing w:after="0" w:line="240" w:lineRule="auto"/>
        <w:ind w:right="2520"/>
        <w:rPr>
          <w:rFonts w:ascii="Georgia" w:eastAsia="Times New Roman" w:hAnsi="Georgia" w:cs="Times New Roman"/>
          <w:sz w:val="15"/>
          <w:szCs w:val="15"/>
        </w:rPr>
      </w:pPr>
    </w:p>
    <w:tbl>
      <w:tblPr>
        <w:tblW w:w="2500" w:type="pct"/>
        <w:jc w:val="center"/>
        <w:tblCellSpacing w:w="0" w:type="dxa"/>
        <w:shd w:val="clear" w:color="auto" w:fill="FFFFFF"/>
        <w:tblCellMar>
          <w:left w:w="0" w:type="dxa"/>
          <w:right w:w="0" w:type="dxa"/>
        </w:tblCellMar>
        <w:tblLook w:val="04A0"/>
      </w:tblPr>
      <w:tblGrid>
        <w:gridCol w:w="4680"/>
      </w:tblGrid>
      <w:tr w:rsidR="00096BC1" w:rsidRPr="00C8720F" w:rsidTr="00096BC1">
        <w:trPr>
          <w:tblCellSpacing w:w="0" w:type="dxa"/>
          <w:jc w:val="center"/>
        </w:trPr>
        <w:tc>
          <w:tcPr>
            <w:tcW w:w="5000" w:type="pct"/>
            <w:shd w:val="clear" w:color="auto" w:fill="FFFFFF"/>
            <w:vAlign w:val="center"/>
            <w:hideMark/>
          </w:tcPr>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Name and Address of Common Holder:</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Christian </w:t>
            </w:r>
            <w:proofErr w:type="spellStart"/>
            <w:r w:rsidRPr="00C8720F">
              <w:rPr>
                <w:rFonts w:ascii="Georgia" w:eastAsia="Times New Roman" w:hAnsi="Georgia" w:cs="Arial"/>
                <w:b/>
                <w:bCs/>
                <w:color w:val="333333"/>
                <w:sz w:val="15"/>
                <w:szCs w:val="15"/>
              </w:rPr>
              <w:t>Gronet</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 Portola Green Circle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Portola Valley, CA 94028</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Benyamin </w:t>
            </w:r>
            <w:proofErr w:type="spellStart"/>
            <w:r w:rsidRPr="00C8720F">
              <w:rPr>
                <w:rFonts w:ascii="Georgia" w:eastAsia="Times New Roman" w:hAnsi="Georgia" w:cs="Arial"/>
                <w:b/>
                <w:bCs/>
                <w:color w:val="333333"/>
                <w:sz w:val="15"/>
                <w:szCs w:val="15"/>
              </w:rPr>
              <w:t>Buller</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10379 </w:t>
            </w:r>
            <w:proofErr w:type="spellStart"/>
            <w:r w:rsidRPr="00C8720F">
              <w:rPr>
                <w:rFonts w:ascii="Georgia" w:eastAsia="Times New Roman" w:hAnsi="Georgia" w:cs="Arial"/>
                <w:color w:val="333333"/>
                <w:sz w:val="15"/>
                <w:szCs w:val="15"/>
              </w:rPr>
              <w:t>Landsdale</w:t>
            </w:r>
            <w:proofErr w:type="spellEnd"/>
            <w:r w:rsidRPr="00C8720F">
              <w:rPr>
                <w:rFonts w:ascii="Georgia" w:eastAsia="Times New Roman" w:hAnsi="Georgia" w:cs="Arial"/>
                <w:color w:val="333333"/>
                <w:sz w:val="15"/>
                <w:szCs w:val="15"/>
              </w:rPr>
              <w:t xml:space="preserve"> Avenue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Cupertino, CA 95014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James Kelly Truman</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21347 NW 217th Drive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High Springs, FL 32643</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 xml:space="preserve">Benjamin </w:t>
            </w:r>
            <w:proofErr w:type="spellStart"/>
            <w:r w:rsidRPr="00C8720F">
              <w:rPr>
                <w:rFonts w:ascii="Georgia" w:eastAsia="Times New Roman" w:hAnsi="Georgia" w:cs="Arial"/>
                <w:b/>
                <w:bCs/>
                <w:color w:val="333333"/>
                <w:sz w:val="15"/>
                <w:szCs w:val="15"/>
              </w:rPr>
              <w:t>Bierman</w:t>
            </w:r>
            <w:proofErr w:type="spellEnd"/>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 xml:space="preserve">47438 </w:t>
            </w:r>
            <w:proofErr w:type="spellStart"/>
            <w:r w:rsidRPr="00C8720F">
              <w:rPr>
                <w:rFonts w:ascii="Georgia" w:eastAsia="Times New Roman" w:hAnsi="Georgia" w:cs="Arial"/>
                <w:color w:val="333333"/>
                <w:sz w:val="15"/>
                <w:szCs w:val="15"/>
              </w:rPr>
              <w:t>Cholla</w:t>
            </w:r>
            <w:proofErr w:type="spellEnd"/>
            <w:r w:rsidRPr="00C8720F">
              <w:rPr>
                <w:rFonts w:ascii="Georgia" w:eastAsia="Times New Roman" w:hAnsi="Georgia" w:cs="Arial"/>
                <w:color w:val="333333"/>
                <w:sz w:val="15"/>
                <w:szCs w:val="15"/>
              </w:rPr>
              <w:t xml:space="preserve"> St</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Fremont, CA 94539</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r w:rsidR="00096BC1" w:rsidRPr="00C8720F" w:rsidTr="00096BC1">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b/>
                <w:bCs/>
                <w:color w:val="333333"/>
                <w:sz w:val="15"/>
                <w:szCs w:val="15"/>
              </w:rPr>
              <w:t>Jonathan Michael</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10363 Byrne Avenue</w:t>
            </w:r>
          </w:p>
          <w:p w:rsidR="00096BC1" w:rsidRPr="00C8720F" w:rsidRDefault="00096BC1" w:rsidP="00C8720F">
            <w:pPr>
              <w:spacing w:after="0" w:line="240" w:lineRule="auto"/>
              <w:ind w:right="2520"/>
              <w:rPr>
                <w:rFonts w:ascii="Georgia" w:eastAsia="Times New Roman" w:hAnsi="Georgia" w:cs="Arial"/>
                <w:color w:val="333333"/>
                <w:sz w:val="15"/>
                <w:szCs w:val="15"/>
              </w:rPr>
            </w:pPr>
            <w:r w:rsidRPr="00C8720F">
              <w:rPr>
                <w:rFonts w:ascii="Georgia" w:eastAsia="Times New Roman" w:hAnsi="Georgia" w:cs="Arial"/>
                <w:color w:val="333333"/>
                <w:sz w:val="15"/>
                <w:szCs w:val="15"/>
              </w:rPr>
              <w:t>Cupertino, CA 95014</w:t>
            </w:r>
          </w:p>
          <w:p w:rsidR="00096BC1" w:rsidRPr="00C8720F" w:rsidRDefault="00096BC1" w:rsidP="00C8720F">
            <w:pPr>
              <w:spacing w:after="0" w:line="240" w:lineRule="auto"/>
              <w:ind w:right="2520"/>
              <w:rPr>
                <w:rFonts w:ascii="Georgia" w:eastAsia="Times New Roman" w:hAnsi="Georgia" w:cs="Arial"/>
                <w:color w:val="333333"/>
                <w:sz w:val="15"/>
                <w:szCs w:val="15"/>
              </w:rPr>
            </w:pPr>
          </w:p>
        </w:tc>
      </w:tr>
    </w:tbl>
    <w:p w:rsidR="00096BC1" w:rsidRPr="00C8720F" w:rsidRDefault="00096BC1" w:rsidP="00C8720F">
      <w:pPr>
        <w:ind w:right="2520"/>
        <w:jc w:val="center"/>
        <w:rPr>
          <w:rFonts w:ascii="Georgia" w:hAnsi="Georgia"/>
          <w:sz w:val="15"/>
          <w:szCs w:val="15"/>
        </w:rPr>
      </w:pPr>
    </w:p>
    <w:sectPr w:rsidR="00096BC1" w:rsidRPr="00C8720F" w:rsidSect="00F62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BC1"/>
    <w:rsid w:val="0002361F"/>
    <w:rsid w:val="00096BC1"/>
    <w:rsid w:val="001C4F49"/>
    <w:rsid w:val="002A018D"/>
    <w:rsid w:val="00C8720F"/>
    <w:rsid w:val="00F62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87"/>
  </w:style>
  <w:style w:type="paragraph" w:styleId="Heading2">
    <w:name w:val="heading 2"/>
    <w:basedOn w:val="Normal"/>
    <w:link w:val="Heading2Char"/>
    <w:uiPriority w:val="9"/>
    <w:qFormat/>
    <w:rsid w:val="00096B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BC1"/>
    <w:rPr>
      <w:rFonts w:ascii="Times New Roman" w:eastAsia="Times New Roman" w:hAnsi="Times New Roman" w:cs="Times New Roman"/>
      <w:b/>
      <w:bCs/>
      <w:sz w:val="36"/>
      <w:szCs w:val="36"/>
    </w:rPr>
  </w:style>
  <w:style w:type="paragraph" w:styleId="NormalWeb">
    <w:name w:val="Normal (Web)"/>
    <w:basedOn w:val="Normal"/>
    <w:uiPriority w:val="99"/>
    <w:unhideWhenUsed/>
    <w:rsid w:val="00096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6BC1"/>
  </w:style>
</w:styles>
</file>

<file path=word/webSettings.xml><?xml version="1.0" encoding="utf-8"?>
<w:webSettings xmlns:r="http://schemas.openxmlformats.org/officeDocument/2006/relationships" xmlns:w="http://schemas.openxmlformats.org/wordprocessingml/2006/main">
  <w:divs>
    <w:div w:id="647629643">
      <w:bodyDiv w:val="1"/>
      <w:marLeft w:val="0"/>
      <w:marRight w:val="0"/>
      <w:marTop w:val="0"/>
      <w:marBottom w:val="0"/>
      <w:divBdr>
        <w:top w:val="none" w:sz="0" w:space="0" w:color="auto"/>
        <w:left w:val="none" w:sz="0" w:space="0" w:color="auto"/>
        <w:bottom w:val="none" w:sz="0" w:space="0" w:color="auto"/>
        <w:right w:val="none" w:sz="0" w:space="0" w:color="auto"/>
      </w:divBdr>
    </w:div>
    <w:div w:id="19830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15792</Words>
  <Characters>90018</Characters>
  <Application>Microsoft Office Word</Application>
  <DocSecurity>0</DocSecurity>
  <Lines>750</Lines>
  <Paragraphs>211</Paragraphs>
  <ScaleCrop>false</ScaleCrop>
  <Company>Searchmedia</Company>
  <LinksUpToDate>false</LinksUpToDate>
  <CharactersWithSpaces>105599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2012-02-06T06:57:00Z</dcterms:created>
  <dcterms:modified xsi:type="dcterms:W3CDTF">2012-02-06T06:57:00Z</dcterms:modified>
</cp:coreProperties>
</file>