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E32D35" w:rsidRDefault="00B60870" w:rsidP="00E32D35">
      <w:pPr>
        <w:ind w:right="2520"/>
        <w:jc w:val="center"/>
        <w:rPr>
          <w:rFonts w:ascii="Georgia" w:hAnsi="Georgia" w:cs="Arial"/>
          <w:b/>
          <w:color w:val="333333"/>
          <w:szCs w:val="16"/>
          <w:shd w:val="clear" w:color="auto" w:fill="FFFFFF"/>
        </w:rPr>
      </w:pPr>
      <w:r w:rsidRPr="00E32D35">
        <w:rPr>
          <w:rFonts w:ascii="Georgia" w:hAnsi="Georgia" w:cs="Arial"/>
          <w:b/>
          <w:color w:val="333333"/>
          <w:szCs w:val="16"/>
          <w:shd w:val="clear" w:color="auto" w:fill="FFFFFF"/>
        </w:rPr>
        <w:t>Interest Rate Lock Agreement</w:t>
      </w:r>
    </w:p>
    <w:p w:rsidR="00B60870" w:rsidRPr="00E32D35" w:rsidRDefault="00B60870" w:rsidP="00E32D35">
      <w:pPr>
        <w:shd w:val="clear" w:color="auto" w:fill="FFFFFF"/>
        <w:spacing w:after="0" w:line="240" w:lineRule="auto"/>
        <w:ind w:right="2520"/>
        <w:jc w:val="center"/>
        <w:rPr>
          <w:rFonts w:ascii="Georgia" w:eastAsia="Times New Roman" w:hAnsi="Georgia" w:cs="Arial"/>
          <w:color w:val="333333"/>
          <w:sz w:val="16"/>
          <w:szCs w:val="16"/>
        </w:rPr>
      </w:pPr>
      <w:r w:rsidRPr="00E32D35">
        <w:rPr>
          <w:rFonts w:ascii="Georgia" w:eastAsia="Times New Roman" w:hAnsi="Georgia" w:cs="Arial"/>
          <w:b/>
          <w:bCs/>
          <w:color w:val="333333"/>
          <w:sz w:val="16"/>
          <w:szCs w:val="16"/>
        </w:rPr>
        <w:t>UBS REAL ESTATE INVESTMENTS INC</w:t>
      </w:r>
      <w:proofErr w:type="gramStart"/>
      <w:r w:rsidRPr="00E32D35">
        <w:rPr>
          <w:rFonts w:ascii="Georgia" w:eastAsia="Times New Roman" w:hAnsi="Georgia" w:cs="Arial"/>
          <w:b/>
          <w:bCs/>
          <w:color w:val="333333"/>
          <w:sz w:val="16"/>
          <w:szCs w:val="16"/>
        </w:rPr>
        <w:t>.</w:t>
      </w:r>
      <w:proofErr w:type="gramEnd"/>
      <w:r w:rsidRPr="00E32D35">
        <w:rPr>
          <w:rFonts w:ascii="Georgia" w:eastAsia="Times New Roman" w:hAnsi="Georgia" w:cs="Arial"/>
          <w:b/>
          <w:bCs/>
          <w:color w:val="333333"/>
          <w:sz w:val="16"/>
          <w:szCs w:val="16"/>
        </w:rPr>
        <w:br/>
        <w:t>1285 Avenue of the Americas, 11</w:t>
      </w:r>
      <w:r w:rsidRPr="00E32D35">
        <w:rPr>
          <w:rFonts w:ascii="Georgia" w:eastAsia="Times New Roman" w:hAnsi="Georgia" w:cs="Arial"/>
          <w:b/>
          <w:bCs/>
          <w:color w:val="333333"/>
          <w:sz w:val="16"/>
          <w:szCs w:val="16"/>
          <w:vertAlign w:val="superscript"/>
        </w:rPr>
        <w:t>th</w:t>
      </w:r>
      <w:r w:rsidRPr="00E32D35">
        <w:rPr>
          <w:rFonts w:ascii="Georgia" w:eastAsia="Times New Roman" w:hAnsi="Georgia" w:cs="Arial"/>
          <w:color w:val="333333"/>
          <w:sz w:val="16"/>
          <w:szCs w:val="16"/>
        </w:rPr>
        <w:t> </w:t>
      </w:r>
      <w:r w:rsidRPr="00E32D35">
        <w:rPr>
          <w:rFonts w:ascii="Georgia" w:eastAsia="Times New Roman" w:hAnsi="Georgia" w:cs="Arial"/>
          <w:b/>
          <w:bCs/>
          <w:color w:val="333333"/>
          <w:sz w:val="16"/>
          <w:szCs w:val="16"/>
        </w:rPr>
        <w:t>Floor</w:t>
      </w:r>
      <w:r w:rsidRPr="00E32D35">
        <w:rPr>
          <w:rFonts w:ascii="Georgia" w:eastAsia="Times New Roman" w:hAnsi="Georgia" w:cs="Arial"/>
          <w:b/>
          <w:bCs/>
          <w:color w:val="333333"/>
          <w:sz w:val="16"/>
          <w:szCs w:val="16"/>
        </w:rPr>
        <w:br/>
        <w:t>New York, New York 10019</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October 24, 2005</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Ashford Hospitality Limited Partnership</w:t>
      </w:r>
      <w:r w:rsidRPr="00E32D35">
        <w:rPr>
          <w:rFonts w:ascii="Georgia" w:eastAsia="Times New Roman" w:hAnsi="Georgia" w:cs="Arial"/>
          <w:color w:val="333333"/>
          <w:sz w:val="16"/>
          <w:szCs w:val="16"/>
        </w:rPr>
        <w:br/>
        <w:t>14185 Dallas Parkway; Suite1100</w:t>
      </w:r>
      <w:r w:rsidRPr="00E32D35">
        <w:rPr>
          <w:rFonts w:ascii="Georgia" w:eastAsia="Times New Roman" w:hAnsi="Georgia" w:cs="Arial"/>
          <w:color w:val="333333"/>
          <w:sz w:val="16"/>
          <w:szCs w:val="16"/>
        </w:rPr>
        <w:br/>
        <w:t>Dallas, Texas 75254</w:t>
      </w:r>
    </w:p>
    <w:p w:rsidR="00B60870" w:rsidRPr="00E32D35" w:rsidRDefault="00B60870" w:rsidP="00E32D35">
      <w:pPr>
        <w:shd w:val="clear" w:color="auto" w:fill="FFFFFF"/>
        <w:spacing w:after="0"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t>Re: </w:t>
      </w:r>
      <w:r w:rsidRPr="00E32D35">
        <w:rPr>
          <w:rFonts w:ascii="Georgia" w:eastAsia="Times New Roman" w:hAnsi="Georgia" w:cs="Arial"/>
          <w:color w:val="333333"/>
          <w:sz w:val="16"/>
          <w:szCs w:val="16"/>
          <w:u w:val="single"/>
        </w:rPr>
        <w:t>Interest Rate Lock Agreement for Ashford 8 Property Portfolio (Pool 1)</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Ladies and Gentlemen:</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     Ashford Hospitality Limited Partnership </w:t>
      </w:r>
      <w:r w:rsidRPr="00E32D35">
        <w:rPr>
          <w:rFonts w:ascii="Georgia" w:eastAsia="Times New Roman" w:hAnsi="Georgia" w:cs="Arial"/>
          <w:b/>
          <w:bCs/>
          <w:color w:val="333333"/>
          <w:sz w:val="16"/>
          <w:szCs w:val="16"/>
        </w:rPr>
        <w:t>("Borrower's Sponsor</w:t>
      </w:r>
      <w:r w:rsidRPr="00E32D35">
        <w:rPr>
          <w:rFonts w:ascii="Georgia" w:eastAsia="Times New Roman" w:hAnsi="Georgia" w:cs="Arial"/>
          <w:color w:val="333333"/>
          <w:sz w:val="16"/>
          <w:szCs w:val="16"/>
        </w:rPr>
        <w:t>") has submitted an application dated as of August 17, 2005 (the "</w:t>
      </w:r>
      <w:r w:rsidRPr="00E32D35">
        <w:rPr>
          <w:rFonts w:ascii="Georgia" w:eastAsia="Times New Roman" w:hAnsi="Georgia" w:cs="Arial"/>
          <w:b/>
          <w:bCs/>
          <w:color w:val="333333"/>
          <w:sz w:val="16"/>
          <w:szCs w:val="16"/>
        </w:rPr>
        <w:t>Application</w:t>
      </w:r>
      <w:r w:rsidRPr="00E32D35">
        <w:rPr>
          <w:rFonts w:ascii="Georgia" w:eastAsia="Times New Roman" w:hAnsi="Georgia" w:cs="Arial"/>
          <w:color w:val="333333"/>
          <w:sz w:val="16"/>
          <w:szCs w:val="16"/>
        </w:rPr>
        <w:t>") to UBS Real Estate Investments Inc. ("</w:t>
      </w:r>
      <w:r w:rsidRPr="00E32D35">
        <w:rPr>
          <w:rFonts w:ascii="Georgia" w:eastAsia="Times New Roman" w:hAnsi="Georgia" w:cs="Arial"/>
          <w:b/>
          <w:bCs/>
          <w:color w:val="333333"/>
          <w:sz w:val="16"/>
          <w:szCs w:val="16"/>
        </w:rPr>
        <w:t>UBS</w:t>
      </w:r>
      <w:r w:rsidRPr="00E32D35">
        <w:rPr>
          <w:rFonts w:ascii="Georgia" w:eastAsia="Times New Roman" w:hAnsi="Georgia" w:cs="Arial"/>
          <w:color w:val="333333"/>
          <w:sz w:val="16"/>
          <w:szCs w:val="16"/>
        </w:rPr>
        <w:t>") whereby, subject to the terms and conditions of the Application, Borrower's Sponsor has applied to UBS for a mortgage loan (the "</w:t>
      </w:r>
      <w:r w:rsidRPr="00E32D35">
        <w:rPr>
          <w:rFonts w:ascii="Georgia" w:eastAsia="Times New Roman" w:hAnsi="Georgia" w:cs="Arial"/>
          <w:b/>
          <w:bCs/>
          <w:color w:val="333333"/>
          <w:sz w:val="16"/>
          <w:szCs w:val="16"/>
        </w:rPr>
        <w:t>Loan</w:t>
      </w:r>
      <w:r w:rsidRPr="00E32D35">
        <w:rPr>
          <w:rFonts w:ascii="Georgia" w:eastAsia="Times New Roman" w:hAnsi="Georgia" w:cs="Arial"/>
          <w:color w:val="333333"/>
          <w:sz w:val="16"/>
          <w:szCs w:val="16"/>
        </w:rPr>
        <w:t>") to a special purpose entity (the "</w:t>
      </w:r>
      <w:r w:rsidRPr="00E32D35">
        <w:rPr>
          <w:rFonts w:ascii="Georgia" w:eastAsia="Times New Roman" w:hAnsi="Georgia" w:cs="Arial"/>
          <w:b/>
          <w:bCs/>
          <w:color w:val="333333"/>
          <w:sz w:val="16"/>
          <w:szCs w:val="16"/>
        </w:rPr>
        <w:t>Borrower</w:t>
      </w:r>
      <w:r w:rsidRPr="00E32D35">
        <w:rPr>
          <w:rFonts w:ascii="Georgia" w:eastAsia="Times New Roman" w:hAnsi="Georgia" w:cs="Arial"/>
          <w:color w:val="333333"/>
          <w:sz w:val="16"/>
          <w:szCs w:val="16"/>
        </w:rPr>
        <w:t>") in the anticipated principal amount of up to $110,700,000 (the "</w:t>
      </w:r>
      <w:r w:rsidRPr="00E32D35">
        <w:rPr>
          <w:rFonts w:ascii="Georgia" w:eastAsia="Times New Roman" w:hAnsi="Georgia" w:cs="Arial"/>
          <w:b/>
          <w:bCs/>
          <w:color w:val="333333"/>
          <w:sz w:val="16"/>
          <w:szCs w:val="16"/>
        </w:rPr>
        <w:t>Anticipated Loan Amount</w:t>
      </w:r>
      <w:r w:rsidRPr="00E32D35">
        <w:rPr>
          <w:rFonts w:ascii="Georgia" w:eastAsia="Times New Roman" w:hAnsi="Georgia" w:cs="Arial"/>
          <w:color w:val="333333"/>
          <w:sz w:val="16"/>
          <w:szCs w:val="16"/>
        </w:rPr>
        <w:t>") to be secured by the real property and other assets (collectively, the "</w:t>
      </w:r>
      <w:r w:rsidRPr="00E32D35">
        <w:rPr>
          <w:rFonts w:ascii="Georgia" w:eastAsia="Times New Roman" w:hAnsi="Georgia" w:cs="Arial"/>
          <w:b/>
          <w:bCs/>
          <w:color w:val="333333"/>
          <w:sz w:val="16"/>
          <w:szCs w:val="16"/>
        </w:rPr>
        <w:t>Property</w:t>
      </w:r>
      <w:r w:rsidRPr="00E32D35">
        <w:rPr>
          <w:rFonts w:ascii="Georgia" w:eastAsia="Times New Roman" w:hAnsi="Georgia" w:cs="Arial"/>
          <w:color w:val="333333"/>
          <w:sz w:val="16"/>
          <w:szCs w:val="16"/>
        </w:rPr>
        <w:t>") set forth in the Application. Capitalized terms used but not defined in this letter agreement (the "</w:t>
      </w:r>
      <w:r w:rsidRPr="00E32D35">
        <w:rPr>
          <w:rFonts w:ascii="Georgia" w:eastAsia="Times New Roman" w:hAnsi="Georgia" w:cs="Arial"/>
          <w:b/>
          <w:bCs/>
          <w:color w:val="333333"/>
          <w:sz w:val="16"/>
          <w:szCs w:val="16"/>
        </w:rPr>
        <w:t>Agreement</w:t>
      </w:r>
      <w:r w:rsidRPr="00E32D35">
        <w:rPr>
          <w:rFonts w:ascii="Georgia" w:eastAsia="Times New Roman" w:hAnsi="Georgia" w:cs="Arial"/>
          <w:color w:val="333333"/>
          <w:sz w:val="16"/>
          <w:szCs w:val="16"/>
        </w:rPr>
        <w:t>") shall have the meaning set forth in the Application. Borrower's Sponsor has requested UBS to establish and fix an Interest Rate for the Loan notwithstanding that UBS has made no obligation or commitment to make the Loan and that UBS has not completed its legal and underwriting due diligence on the Property and has not received credit approval for the loan. In order to grant Borrower's Sponsor's request, Borrower's Sponsor and UBS agree as follows:</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1. Borrower's Sponsor shall deposit with UBS an amount equal to two percent (2.0%) of the Anticipated Loan Amount (such amount, as may be increased from time to time in accordance with this Agreement, the "</w:t>
      </w:r>
      <w:r w:rsidRPr="00E32D35">
        <w:rPr>
          <w:rFonts w:ascii="Georgia" w:eastAsia="Times New Roman" w:hAnsi="Georgia" w:cs="Arial"/>
          <w:b/>
          <w:bCs/>
          <w:color w:val="333333"/>
          <w:sz w:val="16"/>
          <w:szCs w:val="16"/>
        </w:rPr>
        <w:t>Rate Lock Deposit</w:t>
      </w:r>
      <w:r w:rsidRPr="00E32D35">
        <w:rPr>
          <w:rFonts w:ascii="Georgia" w:eastAsia="Times New Roman" w:hAnsi="Georgia" w:cs="Arial"/>
          <w:color w:val="333333"/>
          <w:sz w:val="16"/>
          <w:szCs w:val="16"/>
        </w:rPr>
        <w:t>"). Subject to the conditions set forth below, the Interest Rate payable by the Borrower on the Anticipated Loan Amount shall be fixed at a rate (the "</w:t>
      </w:r>
      <w:r w:rsidRPr="00E32D35">
        <w:rPr>
          <w:rFonts w:ascii="Georgia" w:eastAsia="Times New Roman" w:hAnsi="Georgia" w:cs="Arial"/>
          <w:b/>
          <w:bCs/>
          <w:color w:val="333333"/>
          <w:sz w:val="16"/>
          <w:szCs w:val="16"/>
        </w:rPr>
        <w:t>Locked Interest Rate</w:t>
      </w:r>
      <w:r w:rsidRPr="00E32D35">
        <w:rPr>
          <w:rFonts w:ascii="Georgia" w:eastAsia="Times New Roman" w:hAnsi="Georgia" w:cs="Arial"/>
          <w:color w:val="333333"/>
          <w:sz w:val="16"/>
          <w:szCs w:val="16"/>
        </w:rPr>
        <w:t>") equal to the (X) sum of: (a) 83.25 basis points (the "</w:t>
      </w:r>
      <w:r w:rsidRPr="00E32D35">
        <w:rPr>
          <w:rFonts w:ascii="Georgia" w:eastAsia="Times New Roman" w:hAnsi="Georgia" w:cs="Arial"/>
          <w:b/>
          <w:bCs/>
          <w:color w:val="333333"/>
          <w:sz w:val="16"/>
          <w:szCs w:val="16"/>
        </w:rPr>
        <w:t>Interest Rate Spread</w:t>
      </w:r>
      <w:r w:rsidRPr="00E32D35">
        <w:rPr>
          <w:rFonts w:ascii="Georgia" w:eastAsia="Times New Roman" w:hAnsi="Georgia" w:cs="Arial"/>
          <w:color w:val="333333"/>
          <w:sz w:val="16"/>
          <w:szCs w:val="16"/>
        </w:rPr>
        <w:t>"); plus (b) the yield at the time of Early Rate Lock (as defined below) on the Benchmark Swap Rate (as defined on Exhibit A attached hereto) plus (c) any increases in the Locked Interest Rate as specified in the Transaction Costs section of the Rate Lock Confirmation. The Locked Interest Rate shall be established and fixed (the "</w:t>
      </w:r>
      <w:r w:rsidRPr="00E32D35">
        <w:rPr>
          <w:rFonts w:ascii="Georgia" w:eastAsia="Times New Roman" w:hAnsi="Georgia" w:cs="Arial"/>
          <w:b/>
          <w:bCs/>
          <w:color w:val="333333"/>
          <w:sz w:val="16"/>
          <w:szCs w:val="16"/>
        </w:rPr>
        <w:t>Early Rate Lock</w:t>
      </w:r>
      <w:r w:rsidRPr="00E32D35">
        <w:rPr>
          <w:rFonts w:ascii="Georgia" w:eastAsia="Times New Roman" w:hAnsi="Georgia" w:cs="Arial"/>
          <w:color w:val="333333"/>
          <w:sz w:val="16"/>
          <w:szCs w:val="16"/>
        </w:rPr>
        <w:t>") upon (</w:t>
      </w:r>
      <w:proofErr w:type="spellStart"/>
      <w:r w:rsidRPr="00E32D35">
        <w:rPr>
          <w:rFonts w:ascii="Georgia" w:eastAsia="Times New Roman" w:hAnsi="Georgia" w:cs="Arial"/>
          <w:color w:val="333333"/>
          <w:sz w:val="16"/>
          <w:szCs w:val="16"/>
        </w:rPr>
        <w:t>i</w:t>
      </w:r>
      <w:proofErr w:type="spellEnd"/>
      <w:r w:rsidRPr="00E32D35">
        <w:rPr>
          <w:rFonts w:ascii="Georgia" w:eastAsia="Times New Roman" w:hAnsi="Georgia" w:cs="Arial"/>
          <w:color w:val="333333"/>
          <w:sz w:val="16"/>
          <w:szCs w:val="16"/>
        </w:rPr>
        <w:t>) UBS's receipt of this executed Agreement, (ii) UBS's receipt of the Rate Lock Deposit in immediately available funds (by acceptable certified check or wire transfer), and (iii) UBS's determination that Borrower's Sponsor (and/or Borrower) is not in breach of any of the terms, provisions or conditions of the Application and that Borrower's Sponsor is proceeding with the Loan diligently and in good faith. The Locked Interest Rate shall be confirmed in writing on a rate lock confirmation (the "</w:t>
      </w:r>
      <w:r w:rsidRPr="00E32D35">
        <w:rPr>
          <w:rFonts w:ascii="Georgia" w:eastAsia="Times New Roman" w:hAnsi="Georgia" w:cs="Arial"/>
          <w:b/>
          <w:bCs/>
          <w:color w:val="333333"/>
          <w:sz w:val="16"/>
          <w:szCs w:val="16"/>
        </w:rPr>
        <w:t>Rate Lock Confirmation</w:t>
      </w:r>
      <w:r w:rsidRPr="00E32D35">
        <w:rPr>
          <w:rFonts w:ascii="Georgia" w:eastAsia="Times New Roman" w:hAnsi="Georgia" w:cs="Arial"/>
          <w:color w:val="333333"/>
          <w:sz w:val="16"/>
          <w:szCs w:val="16"/>
        </w:rPr>
        <w:t>") in the form attached hereto as Exhibit A. The Locked Interest Rate is subject to increase as provided for in the Agreement and in the Rate Lock Confirmation.</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2. The Locked Interest Rate shall be applicable only if the Loan is funded at any time from the date hereof through the date that is [30] days following the date the Locked Interest Rate is established (the "</w:t>
      </w:r>
      <w:r w:rsidRPr="00E32D35">
        <w:rPr>
          <w:rFonts w:ascii="Georgia" w:eastAsia="Times New Roman" w:hAnsi="Georgia" w:cs="Arial"/>
          <w:b/>
          <w:bCs/>
          <w:color w:val="333333"/>
          <w:sz w:val="16"/>
          <w:szCs w:val="16"/>
        </w:rPr>
        <w:t>Rate Lock Period</w:t>
      </w:r>
      <w:r w:rsidRPr="00E32D35">
        <w:rPr>
          <w:rFonts w:ascii="Georgia" w:eastAsia="Times New Roman" w:hAnsi="Georgia" w:cs="Arial"/>
          <w:color w:val="333333"/>
          <w:sz w:val="16"/>
          <w:szCs w:val="16"/>
        </w:rPr>
        <w:t>").</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3. Borrower's Sponsor may request an extension of the Rate Lock Period for one additional time period to be determined by Lender, not to extend beyond December 14, 2005, by notifying UBS of such request in writing no sooner than five (5) days prior to the expiration of the Rate Lock Period. If UBS, in its sole discretion, consents to such an extension, UBS will notify Borrower's Sponsor of same in writing (the "</w:t>
      </w:r>
      <w:r w:rsidRPr="00E32D35">
        <w:rPr>
          <w:rFonts w:ascii="Georgia" w:eastAsia="Times New Roman" w:hAnsi="Georgia" w:cs="Arial"/>
          <w:b/>
          <w:bCs/>
          <w:color w:val="333333"/>
          <w:sz w:val="16"/>
          <w:szCs w:val="16"/>
        </w:rPr>
        <w:t>Extension Consent</w:t>
      </w:r>
      <w:r w:rsidRPr="00E32D35">
        <w:rPr>
          <w:rFonts w:ascii="Georgia" w:eastAsia="Times New Roman" w:hAnsi="Georgia" w:cs="Arial"/>
          <w:color w:val="333333"/>
          <w:sz w:val="16"/>
          <w:szCs w:val="16"/>
        </w:rPr>
        <w:t>") subject to receipt by wire transfer, by the end of the business day following Borrower's Sponsor's receipt of the Extension Consent (the "</w:t>
      </w:r>
      <w:r w:rsidRPr="00E32D35">
        <w:rPr>
          <w:rFonts w:ascii="Georgia" w:eastAsia="Times New Roman" w:hAnsi="Georgia" w:cs="Arial"/>
          <w:b/>
          <w:bCs/>
          <w:color w:val="333333"/>
          <w:sz w:val="16"/>
          <w:szCs w:val="16"/>
        </w:rPr>
        <w:t>Extension Date</w:t>
      </w:r>
      <w:r w:rsidRPr="00E32D35">
        <w:rPr>
          <w:rFonts w:ascii="Georgia" w:eastAsia="Times New Roman" w:hAnsi="Georgia" w:cs="Arial"/>
          <w:color w:val="333333"/>
          <w:sz w:val="16"/>
          <w:szCs w:val="16"/>
        </w:rPr>
        <w:t>"), of: (</w:t>
      </w:r>
      <w:proofErr w:type="spellStart"/>
      <w:r w:rsidRPr="00E32D35">
        <w:rPr>
          <w:rFonts w:ascii="Georgia" w:eastAsia="Times New Roman" w:hAnsi="Georgia" w:cs="Arial"/>
          <w:color w:val="333333"/>
          <w:sz w:val="16"/>
          <w:szCs w:val="16"/>
        </w:rPr>
        <w:t>i</w:t>
      </w:r>
      <w:proofErr w:type="spellEnd"/>
      <w:r w:rsidRPr="00E32D35">
        <w:rPr>
          <w:rFonts w:ascii="Georgia" w:eastAsia="Times New Roman" w:hAnsi="Georgia" w:cs="Arial"/>
          <w:color w:val="333333"/>
          <w:sz w:val="16"/>
          <w:szCs w:val="16"/>
        </w:rPr>
        <w:t>) an additional Rate Lock Deposit in an amount equal to the total "Hedge Losses" (as defined and calculated</w:t>
      </w:r>
    </w:p>
    <w:p w:rsidR="00B60870" w:rsidRPr="00E32D35" w:rsidRDefault="00B60870" w:rsidP="00E32D35">
      <w:pPr>
        <w:shd w:val="clear" w:color="auto" w:fill="FFFFFF"/>
        <w:spacing w:before="100" w:beforeAutospacing="1" w:after="100" w:afterAutospacing="1"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t>1</w:t>
      </w:r>
    </w:p>
    <w:p w:rsidR="00B60870" w:rsidRPr="00E32D35" w:rsidRDefault="00C8300E"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pict>
          <v:rect id="_x0000_i1025" style="width:0;height:1.5pt" o:hralign="center" o:hrstd="t" o:hrnoshade="t" o:hr="t" fillcolor="#333" stroked="f"/>
        </w:pict>
      </w:r>
    </w:p>
    <w:p w:rsidR="00B60870" w:rsidRPr="00E32D35" w:rsidRDefault="00B60870" w:rsidP="00E32D35">
      <w:pPr>
        <w:pageBreakBefore/>
        <w:shd w:val="clear" w:color="auto" w:fill="FFFFFF"/>
        <w:spacing w:before="100" w:beforeAutospacing="1" w:after="100" w:afterAutospacing="1" w:line="240" w:lineRule="auto"/>
        <w:ind w:right="2520"/>
        <w:outlineLvl w:val="4"/>
        <w:rPr>
          <w:rFonts w:ascii="Georgia" w:eastAsia="Times New Roman" w:hAnsi="Georgia" w:cs="Arial"/>
          <w:b/>
          <w:bCs/>
          <w:color w:val="333333"/>
          <w:sz w:val="16"/>
          <w:szCs w:val="16"/>
        </w:rPr>
      </w:pPr>
      <w:r w:rsidRPr="00E32D35">
        <w:rPr>
          <w:rFonts w:ascii="Georgia" w:eastAsia="Times New Roman" w:hAnsi="Georgia" w:cs="Arial"/>
          <w:b/>
          <w:bCs/>
          <w:color w:val="333333"/>
          <w:sz w:val="16"/>
          <w:szCs w:val="16"/>
        </w:rPr>
        <w:lastRenderedPageBreak/>
        <w:t> </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proofErr w:type="gramStart"/>
      <w:r w:rsidRPr="00E32D35">
        <w:rPr>
          <w:rFonts w:ascii="Georgia" w:eastAsia="Times New Roman" w:hAnsi="Georgia" w:cs="Arial"/>
          <w:color w:val="333333"/>
          <w:sz w:val="16"/>
          <w:szCs w:val="16"/>
        </w:rPr>
        <w:t>in</w:t>
      </w:r>
      <w:proofErr w:type="gramEnd"/>
      <w:r w:rsidRPr="00E32D35">
        <w:rPr>
          <w:rFonts w:ascii="Georgia" w:eastAsia="Times New Roman" w:hAnsi="Georgia" w:cs="Arial"/>
          <w:color w:val="333333"/>
          <w:sz w:val="16"/>
          <w:szCs w:val="16"/>
        </w:rPr>
        <w:t xml:space="preserve"> accordance with Paragraph 11 below) estimated by UBS as of the Extension Date and (ii) Borrower's Sponsor's signature on the Extension Consent. If UBS receives the executed Extension Consent and the additional Rate Lock Deposit on the Extension Date, the Rate Lock Period shall be deemed extended for an additional time frame as determined by Lender.</w:t>
      </w:r>
    </w:p>
    <w:tbl>
      <w:tblPr>
        <w:tblW w:w="5000" w:type="pct"/>
        <w:tblCellSpacing w:w="0" w:type="dxa"/>
        <w:tblCellMar>
          <w:left w:w="0" w:type="dxa"/>
          <w:right w:w="0" w:type="dxa"/>
        </w:tblCellMar>
        <w:tblLook w:val="04A0"/>
      </w:tblPr>
      <w:tblGrid>
        <w:gridCol w:w="3063"/>
        <w:gridCol w:w="2559"/>
        <w:gridCol w:w="3738"/>
      </w:tblGrid>
      <w:tr w:rsidR="00B60870" w:rsidRPr="00E32D35" w:rsidTr="00B60870">
        <w:trPr>
          <w:tblCellSpacing w:w="0" w:type="dxa"/>
        </w:trPr>
        <w:tc>
          <w:tcPr>
            <w:tcW w:w="10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3.</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If, at any time during the Rate Lock Period, UBS determines in its sole discretion that if the Early Rate Lock were to be terminated, Hedge Losses would result in an amount equal to or greater than one percent (1%) of the Anticipated Loan Amount, Borrower's Sponsor will be required, no later than 10:00 a.m. (New York Time) on the business day following notice by UBS (the "</w:t>
            </w:r>
            <w:r w:rsidRPr="00E32D35">
              <w:rPr>
                <w:rFonts w:ascii="Georgia" w:eastAsia="Times New Roman" w:hAnsi="Georgia" w:cs="Times New Roman"/>
                <w:b/>
                <w:bCs/>
                <w:color w:val="000000"/>
                <w:sz w:val="16"/>
                <w:szCs w:val="16"/>
              </w:rPr>
              <w:t>Losses Payment Date</w:t>
            </w:r>
            <w:r w:rsidRPr="00E32D35">
              <w:rPr>
                <w:rFonts w:ascii="Georgia" w:eastAsia="Times New Roman" w:hAnsi="Georgia" w:cs="Times New Roman"/>
                <w:color w:val="000000"/>
                <w:sz w:val="16"/>
                <w:szCs w:val="16"/>
              </w:rPr>
              <w:t xml:space="preserve">") to deposit with UBS (by wire transfer of immediately available funds) an additional Rate Lock Deposit in an amount equal to such potential Hedge Losses. If Borrower's Sponsor fails to pay to UBS the additional Rate Lock Deposit by 10:00 a.m. (New York Time) on the Losses Payment Date, such failure shall be considered a default hereunder and under the Application or any Commitment (as defined below) that may be issued by UBS and UBS may, in its sole discretion, fully </w:t>
            </w:r>
            <w:r w:rsidRPr="00E32D35">
              <w:rPr>
                <w:rFonts w:ascii="Georgia" w:eastAsia="Times New Roman" w:hAnsi="Georgia" w:cs="Times New Roman"/>
                <w:color w:val="000000"/>
                <w:sz w:val="16"/>
                <w:szCs w:val="16"/>
              </w:rPr>
              <w:lastRenderedPageBreak/>
              <w:t>or partially terminate the Early Rate Lock in accordance with paragraph 4 below. This provision shall be applicable any time the potential Hedge Losses equal or exceed an amount equal to or greater than one percent (1%) of the Anticipated Loan Amount. Borrower's Sponsor may be subject to multiple margin calls under this section.</w:t>
            </w:r>
          </w:p>
        </w:tc>
      </w:tr>
    </w:tbl>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lastRenderedPageBreak/>
        <w:t>4. UBS may terminate the Early Rate Lock at any time subsequent to the occurrence of any of the following events: (</w:t>
      </w:r>
      <w:proofErr w:type="spellStart"/>
      <w:r w:rsidRPr="00E32D35">
        <w:rPr>
          <w:rFonts w:ascii="Georgia" w:eastAsia="Times New Roman" w:hAnsi="Georgia" w:cs="Arial"/>
          <w:color w:val="333333"/>
          <w:sz w:val="16"/>
          <w:szCs w:val="16"/>
        </w:rPr>
        <w:t>i</w:t>
      </w:r>
      <w:proofErr w:type="spellEnd"/>
      <w:r w:rsidRPr="00E32D35">
        <w:rPr>
          <w:rFonts w:ascii="Georgia" w:eastAsia="Times New Roman" w:hAnsi="Georgia" w:cs="Arial"/>
          <w:color w:val="333333"/>
          <w:sz w:val="16"/>
          <w:szCs w:val="16"/>
        </w:rPr>
        <w:t>) at any time during the Rate Lock Period prior to UBS's issuance of a written commitment to make the Loan to Borrower (the "</w:t>
      </w:r>
      <w:r w:rsidRPr="00E32D35">
        <w:rPr>
          <w:rFonts w:ascii="Georgia" w:eastAsia="Times New Roman" w:hAnsi="Georgia" w:cs="Arial"/>
          <w:b/>
          <w:bCs/>
          <w:color w:val="333333"/>
          <w:sz w:val="16"/>
          <w:szCs w:val="16"/>
        </w:rPr>
        <w:t>Commitment</w:t>
      </w:r>
      <w:r w:rsidRPr="00E32D35">
        <w:rPr>
          <w:rFonts w:ascii="Georgia" w:eastAsia="Times New Roman" w:hAnsi="Georgia" w:cs="Arial"/>
          <w:color w:val="333333"/>
          <w:sz w:val="16"/>
          <w:szCs w:val="16"/>
        </w:rPr>
        <w:t>"), UBS, in its sole discretion, rejects the Application and determines not to make the Loan to Borrower; (ii) the Application expires or is terminated, (iii) at any time during the Rate Lock Period subsequent to UBS's issuance of a Commitment, UBS's commitment to fund the Loan expires or is terminated in accordance with the terms of the Commitment; (iv) the expiration of the Rate Lock Period; or (v) a default by Borrower's Sponsor or Borrower hereunder, under the Application or under the Commitment, if issued. If UBS terminates the Early Rate Lock pursuant to this paragraph, then the Locked Interest Rate shall no longer be applicable and UBS's only obligation to Borrower's Sponsor shall be to return the Rate Lock Deposit after setting off Hedge Losses, any Transaction Costs (as hereinafter defined) and any other fees and expenses payable to UBS pursuant to this Agreement, the Application and the Commitment, if issued (Hedge Losses, Transaction Costs and any other fees and expenses incurred in connection herewith or the Application or Commitment, if issued, are collectively referred to as the "</w:t>
      </w:r>
      <w:r w:rsidRPr="00E32D35">
        <w:rPr>
          <w:rFonts w:ascii="Georgia" w:eastAsia="Times New Roman" w:hAnsi="Georgia" w:cs="Arial"/>
          <w:b/>
          <w:bCs/>
          <w:color w:val="333333"/>
          <w:sz w:val="16"/>
          <w:szCs w:val="16"/>
        </w:rPr>
        <w:t>Fees and Expenses</w:t>
      </w:r>
      <w:r w:rsidRPr="00E32D35">
        <w:rPr>
          <w:rFonts w:ascii="Georgia" w:eastAsia="Times New Roman" w:hAnsi="Georgia" w:cs="Arial"/>
          <w:color w:val="333333"/>
          <w:sz w:val="16"/>
          <w:szCs w:val="16"/>
        </w:rPr>
        <w:t>"). Borrower's Sponsor shall remain fully responsible for all Fees and Expenses regardless of the termination or expiration of this Agreement. If the Fees and Expenses exceed the Rate Lock Deposit at the expiration or termination of this Agreement, Borrower's Sponsor shall pay UBS the difference in immediately available funds no later than 10:00 a.m. (New York Time) on the business day following notice by UBS. Notice of the termination of the Early Rate Lock (the "</w:t>
      </w:r>
      <w:r w:rsidRPr="00E32D35">
        <w:rPr>
          <w:rFonts w:ascii="Georgia" w:eastAsia="Times New Roman" w:hAnsi="Georgia" w:cs="Arial"/>
          <w:b/>
          <w:bCs/>
          <w:color w:val="333333"/>
          <w:sz w:val="16"/>
          <w:szCs w:val="16"/>
        </w:rPr>
        <w:t>Rate Lock Termination Notice</w:t>
      </w:r>
      <w:r w:rsidRPr="00E32D35">
        <w:rPr>
          <w:rFonts w:ascii="Georgia" w:eastAsia="Times New Roman" w:hAnsi="Georgia" w:cs="Arial"/>
          <w:color w:val="333333"/>
          <w:sz w:val="16"/>
          <w:szCs w:val="16"/>
        </w:rPr>
        <w:t>") may be oral or in writing.</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5. If the Loan is funded in an amount at least equal to the Anticipated Loan Amount with the same Maturity Date ("</w:t>
      </w:r>
      <w:r w:rsidRPr="00E32D35">
        <w:rPr>
          <w:rFonts w:ascii="Georgia" w:eastAsia="Times New Roman" w:hAnsi="Georgia" w:cs="Arial"/>
          <w:b/>
          <w:bCs/>
          <w:color w:val="333333"/>
          <w:sz w:val="16"/>
          <w:szCs w:val="16"/>
        </w:rPr>
        <w:t>Maturity Date</w:t>
      </w:r>
      <w:r w:rsidRPr="00E32D35">
        <w:rPr>
          <w:rFonts w:ascii="Georgia" w:eastAsia="Times New Roman" w:hAnsi="Georgia" w:cs="Arial"/>
          <w:color w:val="333333"/>
          <w:sz w:val="16"/>
          <w:szCs w:val="16"/>
        </w:rPr>
        <w:t>") as provided for on the Rate Lock Confirmation prior to the termination of the Early Rate Lock, Borrower's Sponsor shall not be responsible for any Hedge Losses hereunder and UBS shall return any remaining portion of the Rate Lock Deposit to Borrower's Sponsor after deducting any Fees and Expenses (other than Hedge Losses) payable to UBS by Borrower's Sponsor or Borrower pursuant to this Agreement, the Application, the Commitment, if issued, or otherwise in connection with the Loan closing. If the Loan is funded in an amount less than the Anticipated Loan Amount or if the Maturity Date is changed, then UBS shall apply the Rate Lock Deposit to Hedge Losses with respect to the portion of the Anticipated Loan Amount not actually funded, or any Hedge Losses resulting from such a change, and the Fees and Expenses. If the Hedge Losses and other Fees and Expenses exceed the Rate Lock Deposit, then Borrower's Sponsor shall be required to pay the difference to UBS simultaneously with the funding of the Loan. If the Loan is funded in an amount which is greater than the Anticipated Loan Amount, the Locked Interest Rate will not be applicable to such excess amount and the final interest rate on the Loan will be determined in accordance with the terms of the Application or Commitment. Notwithstanding anything to the contrary contained in this Agreement, the Application or the Commitment (if issued), in no event shall the final Interest Rate for the Loan be less than the Locked Interest Rate.</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 xml:space="preserve">6. In order for UBS to offer Borrower the Locked Interest Rate prior to satisfaction by Borrower of all conditions necessary for closing, UBS may enter into various hedging transactions from time to time (either on a loan portfolio basis or an individual loan basis or not at all) which hedging transactions could result in monetary losses if the Loan does not close (or closes in an amount less than the Anticipated Loan Amount or on terms other than as specified on the Rate Lock Confirmation). Borrower's Sponsor acknowledges that (a) such monetary losses would be difficult to ascertain with certainty (due to UBS's various hedging methods employed from time </w:t>
      </w:r>
      <w:r w:rsidRPr="00E32D35">
        <w:rPr>
          <w:rFonts w:ascii="Georgia" w:eastAsia="Times New Roman" w:hAnsi="Georgia" w:cs="Arial"/>
          <w:color w:val="333333"/>
          <w:sz w:val="16"/>
          <w:szCs w:val="16"/>
        </w:rPr>
        <w:lastRenderedPageBreak/>
        <w:t>to time and the fact that UBS may enter into hedging transactions on a loan portfolio basis or an individual loan basis or not at all) and (b) the Hedge Losses payable by</w:t>
      </w:r>
    </w:p>
    <w:p w:rsidR="00B60870" w:rsidRPr="00E32D35" w:rsidRDefault="00B60870" w:rsidP="00E32D35">
      <w:pPr>
        <w:shd w:val="clear" w:color="auto" w:fill="FFFFFF"/>
        <w:spacing w:before="100" w:beforeAutospacing="1" w:after="100" w:afterAutospacing="1"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t>2</w:t>
      </w:r>
    </w:p>
    <w:p w:rsidR="00B60870" w:rsidRPr="00E32D35" w:rsidRDefault="00C8300E"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pict>
          <v:rect id="_x0000_i1026" style="width:0;height:1.5pt" o:hralign="center" o:hrstd="t" o:hrnoshade="t" o:hr="t" fillcolor="#333" stroked="f"/>
        </w:pict>
      </w:r>
    </w:p>
    <w:p w:rsidR="00B60870" w:rsidRPr="00E32D35" w:rsidRDefault="00B60870" w:rsidP="00E32D35">
      <w:pPr>
        <w:pageBreakBefore/>
        <w:shd w:val="clear" w:color="auto" w:fill="FFFFFF"/>
        <w:spacing w:before="100" w:beforeAutospacing="1" w:after="100" w:afterAutospacing="1" w:line="240" w:lineRule="auto"/>
        <w:ind w:right="2520"/>
        <w:outlineLvl w:val="4"/>
        <w:rPr>
          <w:rFonts w:ascii="Georgia" w:eastAsia="Times New Roman" w:hAnsi="Georgia" w:cs="Arial"/>
          <w:b/>
          <w:bCs/>
          <w:color w:val="333333"/>
          <w:sz w:val="16"/>
          <w:szCs w:val="16"/>
        </w:rPr>
      </w:pPr>
      <w:r w:rsidRPr="00E32D35">
        <w:rPr>
          <w:rFonts w:ascii="Georgia" w:eastAsia="Times New Roman" w:hAnsi="Georgia" w:cs="Arial"/>
          <w:b/>
          <w:bCs/>
          <w:color w:val="333333"/>
          <w:sz w:val="16"/>
          <w:szCs w:val="16"/>
        </w:rPr>
        <w:lastRenderedPageBreak/>
        <w:t> </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Borrower's Sponsor pursuant to this Agreement (which are intended to cover UBS's exposure to the monetary losses described above) constitute fair and reasonable liquidated damages regardless of the hedging methods used or whether such hedging transactions have actually been entered into. </w:t>
      </w:r>
      <w:r w:rsidRPr="00E32D35">
        <w:rPr>
          <w:rFonts w:ascii="Georgia" w:eastAsia="Times New Roman" w:hAnsi="Georgia" w:cs="Arial"/>
          <w:b/>
          <w:bCs/>
          <w:color w:val="333333"/>
          <w:sz w:val="16"/>
          <w:szCs w:val="16"/>
        </w:rPr>
        <w:t>BORROWER's SPONSOR ACKNOWLEDGES AND UNDERSTANDS THAT IT WOULD NOT BE VULNERABLE TO HEDGE LOSSES IF IT DOES NOT ELECT TO EARLY RATE LOCK PURSUANT TO THIS AGREEMENT AND IT IS UNDER NO OBLIGATION TO EARLY RATE LOCK PURSUANT TO THIS AGREEMENT BUT, RATHER, MAY PROCEED WITH UBS's STANDARD RATE LOCK PROCEDURE SET FORTH IN THE APPLICATION.</w:t>
      </w:r>
      <w:r w:rsidRPr="00E32D35">
        <w:rPr>
          <w:rFonts w:ascii="Georgia" w:eastAsia="Times New Roman" w:hAnsi="Georgia" w:cs="Arial"/>
          <w:color w:val="333333"/>
          <w:sz w:val="16"/>
          <w:szCs w:val="16"/>
        </w:rPr>
        <w:t> Any termination of the Early Rate Lock by UBS shall be effective as of the date UBS sends the Rate Lock Termination Notice to Borrower. Hedge Losses sustained due to terminating the Early Rate Lock will be calculated as of the date UBS sends the Rate Lock Termination Notice to Borrower's Sponsor. Any such Hedge Losses will be related, to a large extent, to movements in the Benchmark Swap Rate which is subject to potentially rapid and extreme price fluctuations. UBS reserves the right to determine, in its sole discretion, the date to terminate the Early Rate Lock. UBS's decision not to terminate the Early Rate Lock promptly following the event which gives rise to UBS's right to terminate the Early Rate Lock shall not be deemed a waiver of UBS's right to terminate the Early Rate Lock in the future based on such event. Borrower and Borrower's Sponsor hereby waive any potential claims or causes of action that Borrower and/or Borrower's Sponsor may have against UBS with respect to any action taken (or not taken) by UBS in connection with terminating the Early Rate Lock.</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7. This Agreement shall in no way be construed to reduce Borrower's Sponsor and/or Borrower's obligations pursuant to the Application or the Commitment (if issued). This Agreement shall in no way be construed to be an acceptance by UBS of the Application or a commitment by UBS to fund the Loan. Notwithstanding the expiration or termination of the Early Rate Lock, this Agreement shall survive until all obligations of the Borrower's Sponsor have been fully satisfied. The Borrower's Sponsor may not, without the prior written consent of UBS, assign, transfer or set over to another, in whole or in part, all or any part of its benefits, rights, duties and obligations hereunder. This Agreement may be amended, changed or modified by Borrower's Sponsor and UBS only by an instrument in writing setting forth the terms of such change, modification or amendment, and signed by each party. This Agreement has been negotiated, issued and accepted in New York (the "</w:t>
      </w:r>
      <w:r w:rsidRPr="00E32D35">
        <w:rPr>
          <w:rFonts w:ascii="Georgia" w:eastAsia="Times New Roman" w:hAnsi="Georgia" w:cs="Arial"/>
          <w:b/>
          <w:bCs/>
          <w:color w:val="333333"/>
          <w:sz w:val="16"/>
          <w:szCs w:val="16"/>
        </w:rPr>
        <w:t>State</w:t>
      </w:r>
      <w:r w:rsidRPr="00E32D35">
        <w:rPr>
          <w:rFonts w:ascii="Georgia" w:eastAsia="Times New Roman" w:hAnsi="Georgia" w:cs="Arial"/>
          <w:color w:val="333333"/>
          <w:sz w:val="16"/>
          <w:szCs w:val="16"/>
        </w:rPr>
        <w:t>") and shall be construed in accordance with and governed by the laws of the State applicable to agreements made and to be performed therein, notwithstanding any choice-of-law rules to the contrary. Borrower submits to the exclusive jurisdiction of the courts of the State for the resolution of any dispute in connection with this Agreement. The parties hereto hereby waive any and all right to a trial by jury in connection with any and all matters relating hereto. This Agreement may be executed in any number of counterparts, each of which when executed and delivered shall be an original but all of which shall together constitute one and the same instrument.</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8. All notices hereunder (excluding the Rate Lock Termination Notice) shall be in writing and shall be delivered by any one of the following methods (</w:t>
      </w:r>
      <w:proofErr w:type="spellStart"/>
      <w:r w:rsidRPr="00E32D35">
        <w:rPr>
          <w:rFonts w:ascii="Georgia" w:eastAsia="Times New Roman" w:hAnsi="Georgia" w:cs="Arial"/>
          <w:color w:val="333333"/>
          <w:sz w:val="16"/>
          <w:szCs w:val="16"/>
        </w:rPr>
        <w:t>i</w:t>
      </w:r>
      <w:proofErr w:type="spellEnd"/>
      <w:r w:rsidRPr="00E32D35">
        <w:rPr>
          <w:rFonts w:ascii="Georgia" w:eastAsia="Times New Roman" w:hAnsi="Georgia" w:cs="Arial"/>
          <w:color w:val="333333"/>
          <w:sz w:val="16"/>
          <w:szCs w:val="16"/>
        </w:rPr>
        <w:t>) </w:t>
      </w:r>
      <w:proofErr w:type="spellStart"/>
      <w:r w:rsidRPr="00E32D35">
        <w:rPr>
          <w:rFonts w:ascii="Georgia" w:eastAsia="Times New Roman" w:hAnsi="Georgia" w:cs="Arial"/>
          <w:color w:val="333333"/>
          <w:sz w:val="16"/>
          <w:szCs w:val="16"/>
        </w:rPr>
        <w:t>fascimile</w:t>
      </w:r>
      <w:proofErr w:type="spellEnd"/>
      <w:r w:rsidRPr="00E32D35">
        <w:rPr>
          <w:rFonts w:ascii="Georgia" w:eastAsia="Times New Roman" w:hAnsi="Georgia" w:cs="Arial"/>
          <w:color w:val="333333"/>
          <w:sz w:val="16"/>
          <w:szCs w:val="16"/>
        </w:rPr>
        <w:t xml:space="preserve"> transmission, (ii) U.S. Mail or (iii) nationally recognized overnight delivery service. All notices to UBS shall be addressed UBS Real Estate Investments Inc. 1285 Avenue of the Americas, 11</w:t>
      </w:r>
      <w:r w:rsidRPr="00E32D35">
        <w:rPr>
          <w:rFonts w:ascii="Georgia" w:eastAsia="Times New Roman" w:hAnsi="Georgia" w:cs="Arial"/>
          <w:color w:val="333333"/>
          <w:sz w:val="16"/>
          <w:szCs w:val="16"/>
          <w:vertAlign w:val="superscript"/>
        </w:rPr>
        <w:t>th</w:t>
      </w:r>
      <w:r w:rsidRPr="00E32D35">
        <w:rPr>
          <w:rFonts w:ascii="Georgia" w:eastAsia="Times New Roman" w:hAnsi="Georgia" w:cs="Arial"/>
          <w:color w:val="333333"/>
          <w:sz w:val="16"/>
          <w:szCs w:val="16"/>
        </w:rPr>
        <w:t>Floor, New York, New York 10019, Greta Guggenheim, Fax Number: (212) 713-2099 or such other address as UBS shall designate in writing from time to time. All notices to Borrower's Sponsor shall be addressed to the address for Borrower's Sponsor set forth on the first page hereof, Attention: David Brooks, Fax Number: (972) 490-9605, or such other address as Borrower's Sponsor shall designate in writing from time to time.</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9. Borrower's Sponsor hereby represents and warrants on behalf of itself as of the date hereof and as of the date of a Transaction that (a) if Borrower's Sponsor is not an individual, Borrower's Sponsor is (</w:t>
      </w:r>
      <w:proofErr w:type="spellStart"/>
      <w:r w:rsidRPr="00E32D35">
        <w:rPr>
          <w:rFonts w:ascii="Georgia" w:eastAsia="Times New Roman" w:hAnsi="Georgia" w:cs="Arial"/>
          <w:color w:val="333333"/>
          <w:sz w:val="16"/>
          <w:szCs w:val="16"/>
        </w:rPr>
        <w:t>i</w:t>
      </w:r>
      <w:proofErr w:type="spellEnd"/>
      <w:r w:rsidRPr="00E32D35">
        <w:rPr>
          <w:rFonts w:ascii="Georgia" w:eastAsia="Times New Roman" w:hAnsi="Georgia" w:cs="Arial"/>
          <w:color w:val="333333"/>
          <w:sz w:val="16"/>
          <w:szCs w:val="16"/>
        </w:rPr>
        <w:t>) duly organized and formed, validly existing and in good standing in its state of formation and (ii) duly authorized to enter into and perform its obligations under this Agreement, (b) this Agreement does not violate or conflict with any applicable law or regulation, organizational document or other document, instrument or agreement binding upon or affecting Borrower's Sponsor and all consents and approvals have been obtained, (c) its obligations hereunder are legally binding and enforceable, (d) UBS has been and will be acting on an arm's length basis with Borrower's Sponsor and not as Borrower's Sponsor's agent, fiduciary, broker, advisor or consultant with respect to a Transaction and Borrower's Sponsor is relying solely upon the advice of its own advisors in connection with a Transaction and not upon the advice of UBS or any of its representatives and (e) Borrower's Sponsor is aware of the risks associated with a Rate Lock and a Transaction and is willing to assume those risks.</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10. In addition to the other Fees and Expenses, Borrower's Sponsor shall also be responsible for transaction costs (the "</w:t>
      </w:r>
      <w:r w:rsidRPr="00E32D35">
        <w:rPr>
          <w:rFonts w:ascii="Georgia" w:eastAsia="Times New Roman" w:hAnsi="Georgia" w:cs="Arial"/>
          <w:b/>
          <w:bCs/>
          <w:color w:val="333333"/>
          <w:sz w:val="16"/>
          <w:szCs w:val="16"/>
        </w:rPr>
        <w:t>Transaction Costs</w:t>
      </w:r>
      <w:r w:rsidRPr="00E32D35">
        <w:rPr>
          <w:rFonts w:ascii="Georgia" w:eastAsia="Times New Roman" w:hAnsi="Georgia" w:cs="Arial"/>
          <w:color w:val="333333"/>
          <w:sz w:val="16"/>
          <w:szCs w:val="16"/>
        </w:rPr>
        <w:t>") associated with the Early Rate Lock. The Transaction Costs are described on the Rate Lock Confirmation. Borrower's Sponsor shall be responsible for the Transaction Costs whether or not the Loan is closed and funded.</w:t>
      </w:r>
    </w:p>
    <w:p w:rsidR="00B60870" w:rsidRPr="00E32D35" w:rsidRDefault="00B60870" w:rsidP="00E32D35">
      <w:pPr>
        <w:shd w:val="clear" w:color="auto" w:fill="FFFFFF"/>
        <w:spacing w:before="100" w:beforeAutospacing="1" w:after="100" w:afterAutospacing="1"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lastRenderedPageBreak/>
        <w:t>3</w:t>
      </w:r>
    </w:p>
    <w:p w:rsidR="00B60870" w:rsidRPr="00E32D35" w:rsidRDefault="00C8300E"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pict>
          <v:rect id="_x0000_i1027" style="width:0;height:1.5pt" o:hralign="center" o:hrstd="t" o:hrnoshade="t" o:hr="t" fillcolor="#333" stroked="f"/>
        </w:pict>
      </w:r>
    </w:p>
    <w:p w:rsidR="00B60870" w:rsidRPr="00E32D35" w:rsidRDefault="00B60870" w:rsidP="00E32D35">
      <w:pPr>
        <w:pageBreakBefore/>
        <w:shd w:val="clear" w:color="auto" w:fill="FFFFFF"/>
        <w:spacing w:before="100" w:beforeAutospacing="1" w:after="100" w:afterAutospacing="1" w:line="240" w:lineRule="auto"/>
        <w:ind w:right="2520"/>
        <w:outlineLvl w:val="4"/>
        <w:rPr>
          <w:rFonts w:ascii="Georgia" w:eastAsia="Times New Roman" w:hAnsi="Georgia" w:cs="Arial"/>
          <w:b/>
          <w:bCs/>
          <w:color w:val="333333"/>
          <w:sz w:val="16"/>
          <w:szCs w:val="16"/>
        </w:rPr>
      </w:pPr>
      <w:r w:rsidRPr="00E32D35">
        <w:rPr>
          <w:rFonts w:ascii="Georgia" w:eastAsia="Times New Roman" w:hAnsi="Georgia" w:cs="Arial"/>
          <w:b/>
          <w:bCs/>
          <w:color w:val="333333"/>
          <w:sz w:val="16"/>
          <w:szCs w:val="16"/>
        </w:rPr>
        <w:lastRenderedPageBreak/>
        <w:t> </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11. </w:t>
      </w:r>
      <w:r w:rsidRPr="00E32D35">
        <w:rPr>
          <w:rFonts w:ascii="Georgia" w:eastAsia="Times New Roman" w:hAnsi="Georgia" w:cs="Arial"/>
          <w:color w:val="333333"/>
          <w:sz w:val="16"/>
          <w:szCs w:val="16"/>
          <w:u w:val="single"/>
        </w:rPr>
        <w:t>Calculation of Hedge Losses</w:t>
      </w:r>
      <w:r w:rsidRPr="00E32D35">
        <w:rPr>
          <w:rFonts w:ascii="Georgia" w:eastAsia="Times New Roman" w:hAnsi="Georgia" w:cs="Arial"/>
          <w:color w:val="333333"/>
          <w:sz w:val="16"/>
          <w:szCs w:val="16"/>
        </w:rPr>
        <w:t>. If the Early Rate Lock is terminated or expires, Hedge Losses will equal the Breakage Amount if the Breakage Amount is a positive number. The Breakage Amount is calculated as follows:</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w:t>
      </w:r>
      <w:r w:rsidRPr="00E32D35">
        <w:rPr>
          <w:rFonts w:ascii="Georgia" w:eastAsia="Times New Roman" w:hAnsi="Georgia" w:cs="Arial"/>
          <w:b/>
          <w:bCs/>
          <w:color w:val="333333"/>
          <w:sz w:val="16"/>
          <w:szCs w:val="16"/>
        </w:rPr>
        <w:t>Breakage Amount</w:t>
      </w:r>
      <w:r w:rsidRPr="00E32D35">
        <w:rPr>
          <w:rFonts w:ascii="Georgia" w:eastAsia="Times New Roman" w:hAnsi="Georgia" w:cs="Arial"/>
          <w:color w:val="333333"/>
          <w:sz w:val="16"/>
          <w:szCs w:val="16"/>
        </w:rPr>
        <w:t>" means an amount equal to the product of (</w:t>
      </w:r>
      <w:proofErr w:type="spellStart"/>
      <w:r w:rsidRPr="00E32D35">
        <w:rPr>
          <w:rFonts w:ascii="Georgia" w:eastAsia="Times New Roman" w:hAnsi="Georgia" w:cs="Arial"/>
          <w:color w:val="333333"/>
          <w:sz w:val="16"/>
          <w:szCs w:val="16"/>
        </w:rPr>
        <w:t>i</w:t>
      </w:r>
      <w:proofErr w:type="spellEnd"/>
      <w:r w:rsidRPr="00E32D35">
        <w:rPr>
          <w:rFonts w:ascii="Georgia" w:eastAsia="Times New Roman" w:hAnsi="Georgia" w:cs="Arial"/>
          <w:color w:val="333333"/>
          <w:sz w:val="16"/>
          <w:szCs w:val="16"/>
        </w:rPr>
        <w:t>) the Breakage Principal and (ii) the Price Difference.</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w:t>
      </w:r>
      <w:r w:rsidRPr="00E32D35">
        <w:rPr>
          <w:rFonts w:ascii="Georgia" w:eastAsia="Times New Roman" w:hAnsi="Georgia" w:cs="Arial"/>
          <w:b/>
          <w:bCs/>
          <w:color w:val="333333"/>
          <w:sz w:val="16"/>
          <w:szCs w:val="16"/>
        </w:rPr>
        <w:t>Breakage Principal</w:t>
      </w:r>
      <w:r w:rsidRPr="00E32D35">
        <w:rPr>
          <w:rFonts w:ascii="Georgia" w:eastAsia="Times New Roman" w:hAnsi="Georgia" w:cs="Arial"/>
          <w:color w:val="333333"/>
          <w:sz w:val="16"/>
          <w:szCs w:val="16"/>
        </w:rPr>
        <w:t>" means the portion of the Anticipated Loan Amount for which the Early Rate Lock is being terminated.</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w:t>
      </w:r>
      <w:r w:rsidRPr="00E32D35">
        <w:rPr>
          <w:rFonts w:ascii="Georgia" w:eastAsia="Times New Roman" w:hAnsi="Georgia" w:cs="Arial"/>
          <w:b/>
          <w:bCs/>
          <w:color w:val="333333"/>
          <w:sz w:val="16"/>
          <w:szCs w:val="16"/>
        </w:rPr>
        <w:t>Price Difference</w:t>
      </w:r>
      <w:r w:rsidRPr="00E32D35">
        <w:rPr>
          <w:rFonts w:ascii="Georgia" w:eastAsia="Times New Roman" w:hAnsi="Georgia" w:cs="Arial"/>
          <w:color w:val="333333"/>
          <w:sz w:val="16"/>
          <w:szCs w:val="16"/>
        </w:rPr>
        <w:t>" means, as of the time of calculation, the difference obtained by subtracting</w:t>
      </w:r>
    </w:p>
    <w:tbl>
      <w:tblPr>
        <w:tblW w:w="5000" w:type="pct"/>
        <w:tblCellSpacing w:w="0" w:type="dxa"/>
        <w:tblCellMar>
          <w:left w:w="0" w:type="dxa"/>
          <w:right w:w="0" w:type="dxa"/>
        </w:tblCellMar>
        <w:tblLook w:val="04A0"/>
      </w:tblPr>
      <w:tblGrid>
        <w:gridCol w:w="1464"/>
        <w:gridCol w:w="1527"/>
        <w:gridCol w:w="1464"/>
        <w:gridCol w:w="1530"/>
        <w:gridCol w:w="1464"/>
        <w:gridCol w:w="1911"/>
      </w:tblGrid>
      <w:tr w:rsidR="00B60870" w:rsidRPr="00E32D35" w:rsidTr="00B60870">
        <w:trPr>
          <w:tblCellSpacing w:w="0" w:type="dxa"/>
        </w:trPr>
        <w:tc>
          <w:tcPr>
            <w:tcW w:w="20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15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a)</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gridSpan w:val="3"/>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1 from</w:t>
            </w:r>
          </w:p>
        </w:tc>
      </w:tr>
      <w:tr w:rsidR="00B60870" w:rsidRPr="00E32D35" w:rsidTr="00B60870">
        <w:trPr>
          <w:tblCellSpacing w:w="0" w:type="dxa"/>
        </w:trPr>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p>
        </w:tc>
        <w:tc>
          <w:tcPr>
            <w:tcW w:w="0" w:type="auto"/>
            <w:gridSpan w:val="3"/>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p>
        </w:tc>
      </w:tr>
      <w:tr w:rsidR="00B60870" w:rsidRPr="00E32D35" w:rsidTr="00B60870">
        <w:trPr>
          <w:tblCellSpacing w:w="0" w:type="dxa"/>
        </w:trPr>
        <w:tc>
          <w:tcPr>
            <w:tcW w:w="20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15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b)</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gridSpan w:val="3"/>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the quotient obtained by dividing</w:t>
            </w:r>
          </w:p>
        </w:tc>
      </w:tr>
      <w:tr w:rsidR="00B60870" w:rsidRPr="00E32D35" w:rsidTr="00B60870">
        <w:trPr>
          <w:tblCellSpacing w:w="0" w:type="dxa"/>
        </w:trPr>
        <w:tc>
          <w:tcPr>
            <w:tcW w:w="400" w:type="pct"/>
            <w:gridSpan w:val="3"/>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15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proofErr w:type="spellStart"/>
            <w:r w:rsidRPr="00E32D35">
              <w:rPr>
                <w:rFonts w:ascii="Georgia" w:eastAsia="Times New Roman" w:hAnsi="Georgia" w:cs="Times New Roman"/>
                <w:color w:val="000000"/>
                <w:sz w:val="16"/>
                <w:szCs w:val="16"/>
              </w:rPr>
              <w:t>i</w:t>
            </w:r>
            <w:proofErr w:type="spellEnd"/>
            <w:r w:rsidRPr="00E32D35">
              <w:rPr>
                <w:rFonts w:ascii="Georgia" w:eastAsia="Times New Roman" w:hAnsi="Georgia" w:cs="Times New Roman"/>
                <w:color w:val="000000"/>
                <w:sz w:val="16"/>
                <w:szCs w:val="16"/>
              </w:rPr>
              <w:t>)</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the present value (as determined below) of the Intende</w:t>
            </w:r>
            <w:r w:rsidRPr="00E32D35">
              <w:rPr>
                <w:rFonts w:ascii="Georgia" w:eastAsia="Times New Roman" w:hAnsi="Georgia" w:cs="Times New Roman"/>
                <w:color w:val="000000"/>
                <w:sz w:val="16"/>
                <w:szCs w:val="16"/>
              </w:rPr>
              <w:lastRenderedPageBreak/>
              <w:t>d Payments, determined as if the Loan were funded on the day of calcula</w:t>
            </w:r>
            <w:r w:rsidRPr="00E32D35">
              <w:rPr>
                <w:rFonts w:ascii="Georgia" w:eastAsia="Times New Roman" w:hAnsi="Georgia" w:cs="Times New Roman"/>
                <w:color w:val="000000"/>
                <w:sz w:val="16"/>
                <w:szCs w:val="16"/>
              </w:rPr>
              <w:lastRenderedPageBreak/>
              <w:t>tion, by</w:t>
            </w:r>
          </w:p>
        </w:tc>
      </w:tr>
      <w:tr w:rsidR="00B60870" w:rsidRPr="00E32D35" w:rsidTr="00B60870">
        <w:trPr>
          <w:tblCellSpacing w:w="0" w:type="dxa"/>
        </w:trPr>
        <w:tc>
          <w:tcPr>
            <w:tcW w:w="0" w:type="auto"/>
            <w:gridSpan w:val="3"/>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p>
        </w:tc>
      </w:tr>
      <w:tr w:rsidR="00B60870" w:rsidRPr="00E32D35" w:rsidTr="00B60870">
        <w:trPr>
          <w:tblCellSpacing w:w="0" w:type="dxa"/>
        </w:trPr>
        <w:tc>
          <w:tcPr>
            <w:tcW w:w="400" w:type="pct"/>
            <w:gridSpan w:val="3"/>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15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ii)</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proofErr w:type="gramStart"/>
            <w:r w:rsidRPr="00E32D35">
              <w:rPr>
                <w:rFonts w:ascii="Georgia" w:eastAsia="Times New Roman" w:hAnsi="Georgia" w:cs="Times New Roman"/>
                <w:color w:val="000000"/>
                <w:sz w:val="16"/>
                <w:szCs w:val="16"/>
              </w:rPr>
              <w:t>the</w:t>
            </w:r>
            <w:proofErr w:type="gramEnd"/>
            <w:r w:rsidRPr="00E32D35">
              <w:rPr>
                <w:rFonts w:ascii="Georgia" w:eastAsia="Times New Roman" w:hAnsi="Georgia" w:cs="Times New Roman"/>
                <w:color w:val="000000"/>
                <w:sz w:val="16"/>
                <w:szCs w:val="16"/>
              </w:rPr>
              <w:t xml:space="preserve"> Anticipated Loan Amount.</w:t>
            </w:r>
          </w:p>
        </w:tc>
      </w:tr>
    </w:tbl>
    <w:p w:rsidR="00B60870" w:rsidRPr="00E32D35" w:rsidRDefault="00B60870" w:rsidP="00E32D35">
      <w:pPr>
        <w:shd w:val="clear" w:color="auto" w:fill="FFFFFF"/>
        <w:spacing w:after="0" w:line="240" w:lineRule="auto"/>
        <w:ind w:right="2520"/>
        <w:rPr>
          <w:rFonts w:ascii="Georgia" w:eastAsia="Times New Roman" w:hAnsi="Georgia" w:cs="Arial"/>
          <w:vanish/>
          <w:color w:val="333333"/>
          <w:sz w:val="16"/>
          <w:szCs w:val="16"/>
        </w:rPr>
      </w:pPr>
    </w:p>
    <w:tbl>
      <w:tblPr>
        <w:tblW w:w="5000" w:type="pct"/>
        <w:tblCellSpacing w:w="0" w:type="dxa"/>
        <w:tblCellMar>
          <w:left w:w="0" w:type="dxa"/>
          <w:right w:w="0" w:type="dxa"/>
        </w:tblCellMar>
        <w:tblLook w:val="04A0"/>
      </w:tblPr>
      <w:tblGrid>
        <w:gridCol w:w="2171"/>
        <w:gridCol w:w="2172"/>
        <w:gridCol w:w="2172"/>
        <w:gridCol w:w="2845"/>
      </w:tblGrid>
      <w:tr w:rsidR="00B60870" w:rsidRPr="00E32D35" w:rsidTr="00B60870">
        <w:trPr>
          <w:tblCellSpacing w:w="0" w:type="dxa"/>
        </w:trPr>
        <w:tc>
          <w:tcPr>
            <w:tcW w:w="20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15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The present value calculated on an actual/360 basis of the Intended Payments shall be calculated by discounting the Intende</w:t>
            </w:r>
            <w:r w:rsidRPr="00E32D35">
              <w:rPr>
                <w:rFonts w:ascii="Georgia" w:eastAsia="Times New Roman" w:hAnsi="Georgia" w:cs="Times New Roman"/>
                <w:color w:val="000000"/>
                <w:sz w:val="16"/>
                <w:szCs w:val="16"/>
              </w:rPr>
              <w:lastRenderedPageBreak/>
              <w:t>d Payments by the sum of (a) the yield of the Benchmark Swap Rate at the time of calculation of the Hedge Losses plus (b) the Interest Rate Spread. The Price Difference can be either positive or negative.</w:t>
            </w:r>
          </w:p>
        </w:tc>
      </w:tr>
    </w:tbl>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lastRenderedPageBreak/>
        <w:t>"</w:t>
      </w:r>
      <w:r w:rsidRPr="00E32D35">
        <w:rPr>
          <w:rFonts w:ascii="Georgia" w:eastAsia="Times New Roman" w:hAnsi="Georgia" w:cs="Arial"/>
          <w:b/>
          <w:bCs/>
          <w:color w:val="333333"/>
          <w:sz w:val="16"/>
          <w:szCs w:val="16"/>
        </w:rPr>
        <w:t>Intended Payments</w:t>
      </w:r>
      <w:r w:rsidRPr="00E32D35">
        <w:rPr>
          <w:rFonts w:ascii="Georgia" w:eastAsia="Times New Roman" w:hAnsi="Georgia" w:cs="Arial"/>
          <w:color w:val="333333"/>
          <w:sz w:val="16"/>
          <w:szCs w:val="16"/>
        </w:rPr>
        <w:t>" means, for the purpose of the calculation of the Price Difference, each and every payment of principal and/or interest that would have been made with respect to the Loan had the Loan closed with a principal amount equal to the Anticipated Loan Amount on the date breakage is calculated with an interest rate equal to the Locked Interest Rate assuming that the principal is repaid in full in on the Maturity Date and assuming that the Loan is otherwise consistent with the terms of the Application.</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A change of approximately 13 basis points is approximately equal to one percent (1%) for purposes of estimating the magnitude of Hedge Losses as determined hereunder.</w:t>
      </w:r>
    </w:p>
    <w:tbl>
      <w:tblPr>
        <w:tblW w:w="5000" w:type="pct"/>
        <w:tblCellSpacing w:w="0" w:type="dxa"/>
        <w:tblCellMar>
          <w:left w:w="0" w:type="dxa"/>
          <w:right w:w="0" w:type="dxa"/>
        </w:tblCellMar>
        <w:tblLook w:val="04A0"/>
      </w:tblPr>
      <w:tblGrid>
        <w:gridCol w:w="2761"/>
        <w:gridCol w:w="2559"/>
        <w:gridCol w:w="4040"/>
      </w:tblGrid>
      <w:tr w:rsidR="00B60870" w:rsidRPr="00E32D35" w:rsidTr="00B60870">
        <w:trPr>
          <w:tblCellSpacing w:w="0" w:type="dxa"/>
        </w:trPr>
        <w:tc>
          <w:tcPr>
            <w:tcW w:w="10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b/>
                <w:bCs/>
                <w:color w:val="000000"/>
                <w:sz w:val="16"/>
                <w:szCs w:val="16"/>
              </w:rPr>
              <w:t>12.</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Notwithstanding anything to the contrary contained herein, in the event that (</w:t>
            </w:r>
            <w:proofErr w:type="spellStart"/>
            <w:r w:rsidRPr="00E32D35">
              <w:rPr>
                <w:rFonts w:ascii="Georgia" w:eastAsia="Times New Roman" w:hAnsi="Georgia" w:cs="Times New Roman"/>
                <w:color w:val="000000"/>
                <w:sz w:val="16"/>
                <w:szCs w:val="16"/>
              </w:rPr>
              <w:t>i</w:t>
            </w:r>
            <w:proofErr w:type="spellEnd"/>
            <w:r w:rsidRPr="00E32D35">
              <w:rPr>
                <w:rFonts w:ascii="Georgia" w:eastAsia="Times New Roman" w:hAnsi="Georgia" w:cs="Times New Roman"/>
                <w:color w:val="000000"/>
                <w:sz w:val="16"/>
                <w:szCs w:val="16"/>
              </w:rPr>
              <w:t xml:space="preserve">) the Early Rate Lock is </w:t>
            </w:r>
            <w:r w:rsidRPr="00E32D35">
              <w:rPr>
                <w:rFonts w:ascii="Georgia" w:eastAsia="Times New Roman" w:hAnsi="Georgia" w:cs="Times New Roman"/>
                <w:color w:val="000000"/>
                <w:sz w:val="16"/>
                <w:szCs w:val="16"/>
              </w:rPr>
              <w:lastRenderedPageBreak/>
              <w:t xml:space="preserve">terminated in accordance with the terms hereof and (ii) at the time of such termination, the actual Breakage Amount is a negative </w:t>
            </w:r>
            <w:proofErr w:type="gramStart"/>
            <w:r w:rsidRPr="00E32D35">
              <w:rPr>
                <w:rFonts w:ascii="Georgia" w:eastAsia="Times New Roman" w:hAnsi="Georgia" w:cs="Times New Roman"/>
                <w:color w:val="000000"/>
                <w:sz w:val="16"/>
                <w:szCs w:val="16"/>
              </w:rPr>
              <w:t>number,</w:t>
            </w:r>
            <w:proofErr w:type="gramEnd"/>
            <w:r w:rsidRPr="00E32D35">
              <w:rPr>
                <w:rFonts w:ascii="Georgia" w:eastAsia="Times New Roman" w:hAnsi="Georgia" w:cs="Times New Roman"/>
                <w:color w:val="000000"/>
                <w:sz w:val="16"/>
                <w:szCs w:val="16"/>
              </w:rPr>
              <w:t xml:space="preserve"> such amount will be a hedge gain (a "</w:t>
            </w:r>
            <w:r w:rsidRPr="00E32D35">
              <w:rPr>
                <w:rFonts w:ascii="Georgia" w:eastAsia="Times New Roman" w:hAnsi="Georgia" w:cs="Times New Roman"/>
                <w:b/>
                <w:bCs/>
                <w:color w:val="000000"/>
                <w:sz w:val="16"/>
                <w:szCs w:val="16"/>
              </w:rPr>
              <w:t>Hedge Gain</w:t>
            </w:r>
            <w:r w:rsidRPr="00E32D35">
              <w:rPr>
                <w:rFonts w:ascii="Georgia" w:eastAsia="Times New Roman" w:hAnsi="Georgia" w:cs="Times New Roman"/>
                <w:color w:val="000000"/>
                <w:sz w:val="16"/>
                <w:szCs w:val="16"/>
              </w:rPr>
              <w:t xml:space="preserve">"). If all conditions to the funding of the Loan contained in the Application, the Commitment, if issued, and in this Agreement are satisfied, but UBS refuses to fund the Loan and the Early Rate Lock is terminated, then Borrower's Sponsor shall be entitled to such an amount equal to the Hedge Gains (after UBS offsets all Fees and Expenses). In the event that the Early Rate Lock is terminated for any other reason, including Borrower or Borrower's Sponsors refusal to accept the Loan, failure of the parties to reach agreement on the terms and conditions of the Loan, or Borrower or Borrower's Sponsor's failure to satisfy a condition in the Application, the Commitment, if issued, and in this Agreement, or to deliver requested information, then UBS shall retain all Hedge Gains. In addition, if the Loan is funded in an amount less than the Anticipated Loan Amount, then Borrower's Sponsor shall be entitled to such an amount equal to the Hedge Gains, if any, on the portion of the Anticipated Loan Amount equal to the Anticipated Loan Amount minus the actual funded loan amount (after UBS </w:t>
            </w:r>
            <w:r w:rsidRPr="00E32D35">
              <w:rPr>
                <w:rFonts w:ascii="Georgia" w:eastAsia="Times New Roman" w:hAnsi="Georgia" w:cs="Times New Roman"/>
                <w:color w:val="000000"/>
                <w:sz w:val="16"/>
                <w:szCs w:val="16"/>
              </w:rPr>
              <w:lastRenderedPageBreak/>
              <w:t>offsets all Fees and Expenses).</w:t>
            </w:r>
          </w:p>
        </w:tc>
      </w:tr>
      <w:tr w:rsidR="00B60870" w:rsidRPr="00E32D35" w:rsidTr="00B60870">
        <w:trPr>
          <w:tblCellSpacing w:w="0" w:type="dxa"/>
        </w:trPr>
        <w:tc>
          <w:tcPr>
            <w:tcW w:w="10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b/>
                <w:bCs/>
                <w:color w:val="000000"/>
                <w:sz w:val="16"/>
                <w:szCs w:val="16"/>
              </w:rPr>
              <w:lastRenderedPageBreak/>
              <w:t>13.</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b/>
                <w:bCs/>
                <w:color w:val="000000"/>
                <w:sz w:val="16"/>
                <w:szCs w:val="16"/>
              </w:rPr>
              <w:t>BORROWER's SPONSOR ACKNOWLEDGES AND AGREES THAT UBS HAS NOT ISSUED, AND IS UNDER NO OBLIGATION TO ISSUE, A COMMITMENT TO FUND THE REQUESTED LOAN AND IS ALLOWING BORROWER's SPONSOR TO RATE LOCK IN RESPONSE TO BORROWER's SPONSOR's REQUEST. BORROWER AND BORROWER's SPONSOR ACKNOWLEDGES AND AGREES THAT UBS HAS NOT DETERMINED WHAT THE FINAL LOAN AMOUNT WILL BE. BORROWER AND BORROWER's SPONSOR ACKNOWLEDGES AND AGREES THAT THE FINAL LOAN AMOUNT MAY BE LESS THAN THE ANTIPATED LOAN AMOUNT AND THAT, IN THAT CASE, HEDGE LOSSES MAY RESULT, WHICH BORROWER AND BORROWER's SPONSOR SHALL BE FULLY RESPONSIBLE. NEITHER THIS AGREEMENT NOR THE RATE LOCK CONSTITUTES, OR SHOULD BE DEEMED OR CONSTRUED TO CONSTITUTE, A</w:t>
            </w:r>
          </w:p>
        </w:tc>
      </w:tr>
    </w:tbl>
    <w:p w:rsidR="00B60870" w:rsidRPr="00E32D35" w:rsidRDefault="00B60870" w:rsidP="00E32D35">
      <w:pPr>
        <w:shd w:val="clear" w:color="auto" w:fill="FFFFFF"/>
        <w:spacing w:before="100" w:beforeAutospacing="1" w:after="100" w:afterAutospacing="1"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t>4</w:t>
      </w:r>
    </w:p>
    <w:p w:rsidR="00B60870" w:rsidRPr="00E32D35" w:rsidRDefault="00C8300E"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pict>
          <v:rect id="_x0000_i1028" style="width:0;height:1.5pt" o:hralign="center" o:hrstd="t" o:hrnoshade="t" o:hr="t" fillcolor="#333" stroked="f"/>
        </w:pict>
      </w:r>
    </w:p>
    <w:p w:rsidR="00B60870" w:rsidRPr="00E32D35" w:rsidRDefault="00B60870" w:rsidP="00E32D35">
      <w:pPr>
        <w:pageBreakBefore/>
        <w:shd w:val="clear" w:color="auto" w:fill="FFFFFF"/>
        <w:spacing w:before="100" w:beforeAutospacing="1" w:after="100" w:afterAutospacing="1" w:line="240" w:lineRule="auto"/>
        <w:ind w:right="2520"/>
        <w:outlineLvl w:val="4"/>
        <w:rPr>
          <w:rFonts w:ascii="Georgia" w:eastAsia="Times New Roman" w:hAnsi="Georgia" w:cs="Arial"/>
          <w:b/>
          <w:bCs/>
          <w:color w:val="333333"/>
          <w:sz w:val="16"/>
          <w:szCs w:val="16"/>
        </w:rPr>
      </w:pPr>
      <w:r w:rsidRPr="00E32D35">
        <w:rPr>
          <w:rFonts w:ascii="Georgia" w:eastAsia="Times New Roman" w:hAnsi="Georgia" w:cs="Arial"/>
          <w:b/>
          <w:bCs/>
          <w:color w:val="333333"/>
          <w:sz w:val="16"/>
          <w:szCs w:val="16"/>
        </w:rPr>
        <w:lastRenderedPageBreak/>
        <w:t> </w:t>
      </w:r>
    </w:p>
    <w:tbl>
      <w:tblPr>
        <w:tblW w:w="5000" w:type="pct"/>
        <w:tblCellSpacing w:w="0" w:type="dxa"/>
        <w:tblCellMar>
          <w:left w:w="0" w:type="dxa"/>
          <w:right w:w="0" w:type="dxa"/>
        </w:tblCellMar>
        <w:tblLook w:val="04A0"/>
      </w:tblPr>
      <w:tblGrid>
        <w:gridCol w:w="2986"/>
        <w:gridCol w:w="2559"/>
        <w:gridCol w:w="3815"/>
      </w:tblGrid>
      <w:tr w:rsidR="00B60870" w:rsidRPr="00E32D35" w:rsidTr="00B60870">
        <w:trPr>
          <w:tblCellSpacing w:w="0" w:type="dxa"/>
        </w:trPr>
        <w:tc>
          <w:tcPr>
            <w:tcW w:w="100" w:type="pct"/>
            <w:shd w:val="clear" w:color="auto" w:fill="auto"/>
            <w:noWrap/>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50" w:type="pct"/>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color w:val="000000"/>
                <w:sz w:val="16"/>
                <w:szCs w:val="16"/>
              </w:rPr>
              <w:t> </w:t>
            </w:r>
          </w:p>
        </w:tc>
        <w:tc>
          <w:tcPr>
            <w:tcW w:w="0" w:type="auto"/>
            <w:shd w:val="clear" w:color="auto" w:fill="auto"/>
            <w:hideMark/>
          </w:tcPr>
          <w:p w:rsidR="00B60870" w:rsidRPr="00E32D35" w:rsidRDefault="00B60870" w:rsidP="00E32D35">
            <w:pPr>
              <w:spacing w:after="0" w:line="240" w:lineRule="auto"/>
              <w:ind w:right="2520"/>
              <w:rPr>
                <w:rFonts w:ascii="Georgia" w:eastAsia="Times New Roman" w:hAnsi="Georgia" w:cs="Times New Roman"/>
                <w:color w:val="000000"/>
                <w:sz w:val="16"/>
                <w:szCs w:val="16"/>
              </w:rPr>
            </w:pPr>
            <w:r w:rsidRPr="00E32D35">
              <w:rPr>
                <w:rFonts w:ascii="Georgia" w:eastAsia="Times New Roman" w:hAnsi="Georgia" w:cs="Times New Roman"/>
                <w:b/>
                <w:bCs/>
                <w:color w:val="000000"/>
                <w:sz w:val="16"/>
                <w:szCs w:val="16"/>
              </w:rPr>
              <w:t>COMMITMENT OR AGREEMENT BY UBS TO PROVIDE THE FINANCING REQUESTED UNDER THE APPLICATION.</w:t>
            </w:r>
          </w:p>
        </w:tc>
      </w:tr>
    </w:tbl>
    <w:p w:rsidR="00B60870" w:rsidRPr="00E32D35" w:rsidRDefault="00B60870" w:rsidP="00E32D35">
      <w:pPr>
        <w:shd w:val="clear" w:color="auto" w:fill="FFFFFF"/>
        <w:spacing w:before="100" w:beforeAutospacing="1" w:after="100" w:afterAutospacing="1"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t>5</w:t>
      </w:r>
    </w:p>
    <w:p w:rsidR="00B60870" w:rsidRPr="00E32D35" w:rsidRDefault="00C8300E"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pict>
          <v:rect id="_x0000_i1029" style="width:0;height:1.5pt" o:hralign="center" o:hrstd="t" o:hrnoshade="t" o:hr="t" fillcolor="#333" stroked="f"/>
        </w:pict>
      </w:r>
    </w:p>
    <w:p w:rsidR="00B60870" w:rsidRPr="00E32D35" w:rsidRDefault="00B60870" w:rsidP="00E32D35">
      <w:pPr>
        <w:pageBreakBefore/>
        <w:shd w:val="clear" w:color="auto" w:fill="FFFFFF"/>
        <w:spacing w:before="100" w:beforeAutospacing="1" w:after="100" w:afterAutospacing="1" w:line="240" w:lineRule="auto"/>
        <w:ind w:right="2520"/>
        <w:outlineLvl w:val="4"/>
        <w:rPr>
          <w:rFonts w:ascii="Georgia" w:eastAsia="Times New Roman" w:hAnsi="Georgia" w:cs="Arial"/>
          <w:b/>
          <w:bCs/>
          <w:color w:val="333333"/>
          <w:sz w:val="16"/>
          <w:szCs w:val="16"/>
        </w:rPr>
      </w:pPr>
      <w:r w:rsidRPr="00E32D35">
        <w:rPr>
          <w:rFonts w:ascii="Georgia" w:eastAsia="Times New Roman" w:hAnsi="Georgia" w:cs="Arial"/>
          <w:b/>
          <w:bCs/>
          <w:color w:val="333333"/>
          <w:sz w:val="16"/>
          <w:szCs w:val="16"/>
        </w:rPr>
        <w:lastRenderedPageBreak/>
        <w:t> </w:t>
      </w:r>
    </w:p>
    <w:tbl>
      <w:tblPr>
        <w:tblW w:w="5000" w:type="pct"/>
        <w:tblCellSpacing w:w="0" w:type="dxa"/>
        <w:tblCellMar>
          <w:left w:w="0" w:type="dxa"/>
          <w:right w:w="0" w:type="dxa"/>
        </w:tblCellMar>
        <w:tblLook w:val="04A0"/>
      </w:tblPr>
      <w:tblGrid>
        <w:gridCol w:w="9360"/>
      </w:tblGrid>
      <w:tr w:rsidR="00B60870" w:rsidRPr="00E32D35" w:rsidTr="00B60870">
        <w:trPr>
          <w:tblCellSpacing w:w="0" w:type="dxa"/>
        </w:trPr>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p>
        </w:tc>
      </w:tr>
    </w:tbl>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If the foregoing is in accordance with your understanding of our Agreement, please sign and return to the undersigned a counterpart hereof, whereupon this letter and your acceptance shall represent a binding agreement by and between the Borrower's Sponsor and UBS. If this Agreement is not executed by Borrower's Sponsor and returned to UBS by October [ ], 2005, this Agreement shall automatically expire.</w:t>
      </w:r>
    </w:p>
    <w:tbl>
      <w:tblPr>
        <w:tblW w:w="5000" w:type="pct"/>
        <w:jc w:val="center"/>
        <w:tblCellSpacing w:w="0" w:type="dxa"/>
        <w:tblCellMar>
          <w:left w:w="0" w:type="dxa"/>
          <w:right w:w="0" w:type="dxa"/>
        </w:tblCellMar>
        <w:tblLook w:val="04A0"/>
      </w:tblPr>
      <w:tblGrid>
        <w:gridCol w:w="1246"/>
        <w:gridCol w:w="1247"/>
        <w:gridCol w:w="1342"/>
        <w:gridCol w:w="1247"/>
        <w:gridCol w:w="1784"/>
        <w:gridCol w:w="1247"/>
        <w:gridCol w:w="1247"/>
      </w:tblGrid>
      <w:tr w:rsidR="00B60870" w:rsidRPr="00E32D35" w:rsidTr="00B60870">
        <w:trPr>
          <w:tblCellSpacing w:w="0" w:type="dxa"/>
          <w:jc w:val="center"/>
        </w:trPr>
        <w:tc>
          <w:tcPr>
            <w:tcW w:w="24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7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4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gridSpan w:val="3"/>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Very truly yours,</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gridSpan w:val="3"/>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UBS REAL ESTATE INVESTMENTS INC.</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By:</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/S/ GRETA GUGGENHEIM</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tcBorders>
              <w:top w:val="single" w:sz="6" w:space="0" w:color="000000"/>
            </w:tcBorders>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Name: Greta Guggenheim</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Title: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By:</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tcBorders>
              <w:top w:val="single" w:sz="6" w:space="0" w:color="000000"/>
            </w:tcBorders>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Nam</w:t>
            </w:r>
            <w:r w:rsidRPr="00E32D35">
              <w:rPr>
                <w:rFonts w:ascii="Georgia" w:eastAsia="Times New Roman" w:hAnsi="Georgia" w:cs="Times New Roman"/>
                <w:sz w:val="16"/>
                <w:szCs w:val="16"/>
              </w:rPr>
              <w:lastRenderedPageBreak/>
              <w:t>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Title: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bl>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The foregoing Agreement</w:t>
      </w:r>
      <w:r w:rsidRPr="00E32D35">
        <w:rPr>
          <w:rFonts w:ascii="Georgia" w:eastAsia="Times New Roman" w:hAnsi="Georgia" w:cs="Arial"/>
          <w:color w:val="333333"/>
          <w:sz w:val="16"/>
          <w:szCs w:val="16"/>
        </w:rPr>
        <w:br/>
        <w:t>is hereby confirmed and</w:t>
      </w:r>
      <w:r w:rsidRPr="00E32D35">
        <w:rPr>
          <w:rFonts w:ascii="Georgia" w:eastAsia="Times New Roman" w:hAnsi="Georgia" w:cs="Arial"/>
          <w:color w:val="333333"/>
          <w:sz w:val="16"/>
          <w:szCs w:val="16"/>
        </w:rPr>
        <w:br/>
        <w:t>accepted as of the date first</w:t>
      </w:r>
      <w:r w:rsidRPr="00E32D35">
        <w:rPr>
          <w:rFonts w:ascii="Georgia" w:eastAsia="Times New Roman" w:hAnsi="Georgia" w:cs="Arial"/>
          <w:color w:val="333333"/>
          <w:sz w:val="16"/>
          <w:szCs w:val="16"/>
        </w:rPr>
        <w:br/>
        <w:t>written above.</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Ashford Hospitality Limited Partnership</w:t>
      </w:r>
    </w:p>
    <w:tbl>
      <w:tblPr>
        <w:tblW w:w="5000" w:type="pct"/>
        <w:jc w:val="center"/>
        <w:tblCellSpacing w:w="0" w:type="dxa"/>
        <w:tblCellMar>
          <w:left w:w="0" w:type="dxa"/>
          <w:right w:w="0" w:type="dxa"/>
        </w:tblCellMar>
        <w:tblLook w:val="04A0"/>
      </w:tblPr>
      <w:tblGrid>
        <w:gridCol w:w="1895"/>
        <w:gridCol w:w="1760"/>
        <w:gridCol w:w="2185"/>
        <w:gridCol w:w="1760"/>
        <w:gridCol w:w="1760"/>
      </w:tblGrid>
      <w:tr w:rsidR="00B60870" w:rsidRPr="00E32D35" w:rsidTr="00B60870">
        <w:trPr>
          <w:tblCellSpacing w:w="0" w:type="dxa"/>
          <w:jc w:val="center"/>
        </w:trPr>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3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34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By:</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/S/ DAVID A. BROOKS</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tcBorders>
              <w:top w:val="single" w:sz="6" w:space="0" w:color="000000"/>
            </w:tcBorders>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Name: David A. Brooks</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Title: Chief Leg</w:t>
            </w:r>
            <w:r w:rsidRPr="00E32D35">
              <w:rPr>
                <w:rFonts w:ascii="Georgia" w:eastAsia="Times New Roman" w:hAnsi="Georgia" w:cs="Times New Roman"/>
                <w:sz w:val="16"/>
                <w:szCs w:val="16"/>
              </w:rPr>
              <w:lastRenderedPageBreak/>
              <w:t>al Officer</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bl>
    <w:p w:rsidR="00B60870" w:rsidRPr="00E32D35" w:rsidRDefault="00B60870" w:rsidP="00E32D35">
      <w:pPr>
        <w:shd w:val="clear" w:color="auto" w:fill="FFFFFF"/>
        <w:spacing w:before="100" w:beforeAutospacing="1" w:after="100" w:afterAutospacing="1"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lastRenderedPageBreak/>
        <w:t>6</w:t>
      </w:r>
    </w:p>
    <w:p w:rsidR="00B60870" w:rsidRPr="00E32D35" w:rsidRDefault="00C8300E"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pict>
          <v:rect id="_x0000_i1030" style="width:0;height:1.5pt" o:hralign="center" o:hrstd="t" o:hrnoshade="t" o:hr="t" fillcolor="#333" stroked="f"/>
        </w:pict>
      </w:r>
    </w:p>
    <w:p w:rsidR="00B60870" w:rsidRPr="00E32D35" w:rsidRDefault="00B60870" w:rsidP="00E32D35">
      <w:pPr>
        <w:pageBreakBefore/>
        <w:shd w:val="clear" w:color="auto" w:fill="FFFFFF"/>
        <w:spacing w:before="100" w:beforeAutospacing="1" w:after="100" w:afterAutospacing="1" w:line="240" w:lineRule="auto"/>
        <w:ind w:right="2520"/>
        <w:outlineLvl w:val="4"/>
        <w:rPr>
          <w:rFonts w:ascii="Georgia" w:eastAsia="Times New Roman" w:hAnsi="Georgia" w:cs="Arial"/>
          <w:b/>
          <w:bCs/>
          <w:color w:val="333333"/>
          <w:sz w:val="16"/>
          <w:szCs w:val="16"/>
        </w:rPr>
      </w:pPr>
      <w:r w:rsidRPr="00E32D35">
        <w:rPr>
          <w:rFonts w:ascii="Georgia" w:eastAsia="Times New Roman" w:hAnsi="Georgia" w:cs="Arial"/>
          <w:b/>
          <w:bCs/>
          <w:color w:val="333333"/>
          <w:sz w:val="16"/>
          <w:szCs w:val="16"/>
        </w:rPr>
        <w:lastRenderedPageBreak/>
        <w:t> </w:t>
      </w:r>
    </w:p>
    <w:p w:rsidR="00B60870" w:rsidRPr="00E32D35" w:rsidRDefault="00B60870" w:rsidP="00E32D35">
      <w:pPr>
        <w:shd w:val="clear" w:color="auto" w:fill="FFFFFF"/>
        <w:spacing w:after="0" w:line="240" w:lineRule="auto"/>
        <w:ind w:right="2520"/>
        <w:jc w:val="center"/>
        <w:rPr>
          <w:rFonts w:ascii="Georgia" w:eastAsia="Times New Roman" w:hAnsi="Georgia" w:cs="Arial"/>
          <w:color w:val="333333"/>
          <w:sz w:val="16"/>
          <w:szCs w:val="16"/>
        </w:rPr>
      </w:pPr>
      <w:r w:rsidRPr="00E32D35">
        <w:rPr>
          <w:rFonts w:ascii="Georgia" w:eastAsia="Times New Roman" w:hAnsi="Georgia" w:cs="Arial"/>
          <w:b/>
          <w:bCs/>
          <w:color w:val="333333"/>
          <w:sz w:val="16"/>
          <w:szCs w:val="16"/>
        </w:rPr>
        <w:t>EXHIBIT A</w:t>
      </w:r>
    </w:p>
    <w:p w:rsidR="00B60870" w:rsidRPr="00E32D35" w:rsidRDefault="00B60870" w:rsidP="00E32D35">
      <w:pPr>
        <w:shd w:val="clear" w:color="auto" w:fill="FFFFFF"/>
        <w:spacing w:after="0" w:line="240" w:lineRule="auto"/>
        <w:ind w:right="2520"/>
        <w:jc w:val="center"/>
        <w:rPr>
          <w:rFonts w:ascii="Georgia" w:eastAsia="Times New Roman" w:hAnsi="Georgia" w:cs="Arial"/>
          <w:color w:val="333333"/>
          <w:sz w:val="16"/>
          <w:szCs w:val="16"/>
        </w:rPr>
      </w:pPr>
      <w:r w:rsidRPr="00E32D35">
        <w:rPr>
          <w:rFonts w:ascii="Georgia" w:eastAsia="Times New Roman" w:hAnsi="Georgia" w:cs="Arial"/>
          <w:b/>
          <w:bCs/>
          <w:color w:val="333333"/>
          <w:sz w:val="16"/>
          <w:szCs w:val="16"/>
        </w:rPr>
        <w:t>FORM OF RATE LOCK CONFIRMATION</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          </w:t>
      </w:r>
      <w:r w:rsidRPr="00E32D35">
        <w:rPr>
          <w:rFonts w:ascii="Georgia" w:eastAsia="Times New Roman" w:hAnsi="Georgia" w:cs="Arial"/>
          <w:b/>
          <w:bCs/>
          <w:color w:val="333333"/>
          <w:sz w:val="16"/>
          <w:szCs w:val="16"/>
        </w:rPr>
        <w:t>CONFIRMATION</w:t>
      </w:r>
      <w:r w:rsidRPr="00E32D35">
        <w:rPr>
          <w:rFonts w:ascii="Georgia" w:eastAsia="Times New Roman" w:hAnsi="Georgia" w:cs="Arial"/>
          <w:color w:val="333333"/>
          <w:sz w:val="16"/>
          <w:szCs w:val="16"/>
        </w:rPr>
        <w:t> dated October 24, 2005 between UBS REAL ESTATE INVESTMENTS INC. (</w:t>
      </w:r>
      <w:r w:rsidRPr="00E32D35">
        <w:rPr>
          <w:rFonts w:ascii="Georgia" w:eastAsia="Times New Roman" w:hAnsi="Georgia" w:cs="Arial"/>
          <w:b/>
          <w:bCs/>
          <w:color w:val="333333"/>
          <w:sz w:val="16"/>
          <w:szCs w:val="16"/>
        </w:rPr>
        <w:t>"UBS"</w:t>
      </w:r>
      <w:r w:rsidRPr="00E32D35">
        <w:rPr>
          <w:rFonts w:ascii="Georgia" w:eastAsia="Times New Roman" w:hAnsi="Georgia" w:cs="Arial"/>
          <w:color w:val="333333"/>
          <w:sz w:val="16"/>
          <w:szCs w:val="16"/>
        </w:rPr>
        <w:t>) and Ashford Hospitality Limited Partnership (</w:t>
      </w:r>
      <w:r w:rsidRPr="00E32D35">
        <w:rPr>
          <w:rFonts w:ascii="Georgia" w:eastAsia="Times New Roman" w:hAnsi="Georgia" w:cs="Arial"/>
          <w:b/>
          <w:bCs/>
          <w:color w:val="333333"/>
          <w:sz w:val="16"/>
          <w:szCs w:val="16"/>
        </w:rPr>
        <w:t>"Borrower's Sponsor"</w:t>
      </w:r>
      <w:r w:rsidRPr="00E32D35">
        <w:rPr>
          <w:rFonts w:ascii="Georgia" w:eastAsia="Times New Roman" w:hAnsi="Georgia" w:cs="Arial"/>
          <w:color w:val="333333"/>
          <w:sz w:val="16"/>
          <w:szCs w:val="16"/>
        </w:rPr>
        <w:t>).</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          This Confirmation is entered into between UBS and Borrower's Sponsor pursuant to that certain Interest Rate Lock Agreement dated as of October 24, 2005 (the </w:t>
      </w:r>
      <w:r w:rsidRPr="00E32D35">
        <w:rPr>
          <w:rFonts w:ascii="Georgia" w:eastAsia="Times New Roman" w:hAnsi="Georgia" w:cs="Arial"/>
          <w:b/>
          <w:bCs/>
          <w:color w:val="333333"/>
          <w:sz w:val="16"/>
          <w:szCs w:val="16"/>
        </w:rPr>
        <w:t>"Agreement"</w:t>
      </w:r>
      <w:r w:rsidRPr="00E32D35">
        <w:rPr>
          <w:rFonts w:ascii="Georgia" w:eastAsia="Times New Roman" w:hAnsi="Georgia" w:cs="Arial"/>
          <w:color w:val="333333"/>
          <w:sz w:val="16"/>
          <w:szCs w:val="16"/>
        </w:rPr>
        <w:t>) and is the "Rate Lock Confirmation" referred to in the Agreement and is intended to confirm the terms of a Rate Lock. Capitalized terms used herein shall have the meanings set forth in the Agreement.</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          The terms of the Transaction are hereby confirmed as follows:</w:t>
      </w:r>
    </w:p>
    <w:tbl>
      <w:tblPr>
        <w:tblW w:w="5000" w:type="pct"/>
        <w:jc w:val="center"/>
        <w:tblCellSpacing w:w="0" w:type="dxa"/>
        <w:tblCellMar>
          <w:left w:w="0" w:type="dxa"/>
          <w:right w:w="0" w:type="dxa"/>
        </w:tblCellMar>
        <w:tblLook w:val="04A0"/>
      </w:tblPr>
      <w:tblGrid>
        <w:gridCol w:w="953"/>
        <w:gridCol w:w="953"/>
        <w:gridCol w:w="952"/>
        <w:gridCol w:w="1016"/>
        <w:gridCol w:w="952"/>
        <w:gridCol w:w="952"/>
        <w:gridCol w:w="1307"/>
        <w:gridCol w:w="952"/>
        <w:gridCol w:w="1323"/>
      </w:tblGrid>
      <w:tr w:rsidR="00B60870" w:rsidRPr="00E32D35" w:rsidTr="00B60870">
        <w:trPr>
          <w:tblCellSpacing w:w="0" w:type="dxa"/>
          <w:jc w:val="center"/>
        </w:trPr>
        <w:tc>
          <w:tcPr>
            <w:tcW w:w="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2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33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1.</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Transaction Type: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Forward Interest Rate Lock.</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2.</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Rate Lock Deposit:</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$2,217,980 payable by Borrow</w:t>
            </w:r>
            <w:r w:rsidRPr="00E32D35">
              <w:rPr>
                <w:rFonts w:ascii="Georgia" w:eastAsia="Times New Roman" w:hAnsi="Georgia" w:cs="Times New Roman"/>
                <w:sz w:val="16"/>
                <w:szCs w:val="16"/>
              </w:rPr>
              <w:lastRenderedPageBreak/>
              <w:t>er Sponsor to UBS (2% of anticipated loan amount)</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3.</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Transaction Costs:</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For each 30 day inter</w:t>
            </w:r>
            <w:r w:rsidRPr="00E32D35">
              <w:rPr>
                <w:rFonts w:ascii="Georgia" w:eastAsia="Times New Roman" w:hAnsi="Georgia" w:cs="Times New Roman"/>
                <w:sz w:val="16"/>
                <w:szCs w:val="16"/>
              </w:rPr>
              <w:lastRenderedPageBreak/>
              <w:t>val, or portion thereof, for which the Loan is rate locked but not fund</w:t>
            </w:r>
            <w:r w:rsidRPr="00E32D35">
              <w:rPr>
                <w:rFonts w:ascii="Georgia" w:eastAsia="Times New Roman" w:hAnsi="Georgia" w:cs="Times New Roman"/>
                <w:sz w:val="16"/>
                <w:szCs w:val="16"/>
              </w:rPr>
              <w:lastRenderedPageBreak/>
              <w:t>ed, the Locked Interest Rate shall be increased by 1.6 basis points. If</w:t>
            </w:r>
            <w:r w:rsidRPr="00E32D35">
              <w:rPr>
                <w:rFonts w:ascii="Georgia" w:eastAsia="Times New Roman" w:hAnsi="Georgia" w:cs="Times New Roman"/>
                <w:sz w:val="16"/>
                <w:szCs w:val="16"/>
              </w:rPr>
              <w:lastRenderedPageBreak/>
              <w:t xml:space="preserve"> the Loan does not close within the Rate Lock Period, the Transaction C</w:t>
            </w:r>
            <w:r w:rsidRPr="00E32D35">
              <w:rPr>
                <w:rFonts w:ascii="Georgia" w:eastAsia="Times New Roman" w:hAnsi="Georgia" w:cs="Times New Roman"/>
                <w:sz w:val="16"/>
                <w:szCs w:val="16"/>
              </w:rPr>
              <w:lastRenderedPageBreak/>
              <w:t xml:space="preserve">osts shall be immediately due and payable to UBS in an amount equal to </w:t>
            </w:r>
            <w:r w:rsidRPr="00E32D35">
              <w:rPr>
                <w:rFonts w:ascii="Georgia" w:eastAsia="Times New Roman" w:hAnsi="Georgia" w:cs="Times New Roman"/>
                <w:sz w:val="16"/>
                <w:szCs w:val="16"/>
              </w:rPr>
              <w:lastRenderedPageBreak/>
              <w:t>12 basis points multiplied by the Anticipated Loan Amount for each 30 d</w:t>
            </w:r>
            <w:r w:rsidRPr="00E32D35">
              <w:rPr>
                <w:rFonts w:ascii="Georgia" w:eastAsia="Times New Roman" w:hAnsi="Georgia" w:cs="Times New Roman"/>
                <w:sz w:val="16"/>
                <w:szCs w:val="16"/>
              </w:rPr>
              <w:lastRenderedPageBreak/>
              <w:t>ay period, or portion thereof, from the date hereof until the earlier o</w:t>
            </w:r>
            <w:r w:rsidRPr="00E32D35">
              <w:rPr>
                <w:rFonts w:ascii="Georgia" w:eastAsia="Times New Roman" w:hAnsi="Georgia" w:cs="Times New Roman"/>
                <w:sz w:val="16"/>
                <w:szCs w:val="16"/>
              </w:rPr>
              <w:lastRenderedPageBreak/>
              <w:t>f the expiration date of the Rate Lock Period or the date the Applicati</w:t>
            </w:r>
            <w:r w:rsidRPr="00E32D35">
              <w:rPr>
                <w:rFonts w:ascii="Georgia" w:eastAsia="Times New Roman" w:hAnsi="Georgia" w:cs="Times New Roman"/>
                <w:sz w:val="16"/>
                <w:szCs w:val="16"/>
              </w:rPr>
              <w:lastRenderedPageBreak/>
              <w:t xml:space="preserve">on is </w:t>
            </w:r>
            <w:proofErr w:type="gramStart"/>
            <w:r w:rsidRPr="00E32D35">
              <w:rPr>
                <w:rFonts w:ascii="Georgia" w:eastAsia="Times New Roman" w:hAnsi="Georgia" w:cs="Times New Roman"/>
                <w:sz w:val="16"/>
                <w:szCs w:val="16"/>
              </w:rPr>
              <w:t>terminated .</w:t>
            </w:r>
            <w:proofErr w:type="gramEnd"/>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4.</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Early Rate Lock Date: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October 24, 2005.</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5.</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Locked Interest Rate: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5.7375% per annum.</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6.</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Anticipa</w:t>
            </w:r>
            <w:r w:rsidRPr="00E32D35">
              <w:rPr>
                <w:rFonts w:ascii="Georgia" w:eastAsia="Times New Roman" w:hAnsi="Georgia" w:cs="Times New Roman"/>
                <w:b/>
                <w:bCs/>
                <w:sz w:val="16"/>
                <w:szCs w:val="16"/>
              </w:rPr>
              <w:lastRenderedPageBreak/>
              <w:t>ted Loan Amount:</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$110,899</w:t>
            </w:r>
            <w:r w:rsidRPr="00E32D35">
              <w:rPr>
                <w:rFonts w:ascii="Georgia" w:eastAsia="Times New Roman" w:hAnsi="Georgia" w:cs="Times New Roman"/>
                <w:sz w:val="16"/>
                <w:szCs w:val="16"/>
              </w:rPr>
              <w:lastRenderedPageBreak/>
              <w:t>,000, subject to adjustment as provided in the Application</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7.</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Rate Lock Pe</w:t>
            </w:r>
            <w:r w:rsidRPr="00E32D35">
              <w:rPr>
                <w:rFonts w:ascii="Georgia" w:eastAsia="Times New Roman" w:hAnsi="Georgia" w:cs="Times New Roman"/>
                <w:b/>
                <w:bCs/>
                <w:sz w:val="16"/>
                <w:szCs w:val="16"/>
              </w:rPr>
              <w:lastRenderedPageBreak/>
              <w:t>riod:</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From the dat</w:t>
            </w:r>
            <w:r w:rsidRPr="00E32D35">
              <w:rPr>
                <w:rFonts w:ascii="Georgia" w:eastAsia="Times New Roman" w:hAnsi="Georgia" w:cs="Times New Roman"/>
                <w:sz w:val="16"/>
                <w:szCs w:val="16"/>
              </w:rPr>
              <w:lastRenderedPageBreak/>
              <w:t>e hereof to and including November 14, 2005.</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8.</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Maturity Date: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9 years from the first pay</w:t>
            </w:r>
            <w:r w:rsidRPr="00E32D35">
              <w:rPr>
                <w:rFonts w:ascii="Georgia" w:eastAsia="Times New Roman" w:hAnsi="Georgia" w:cs="Times New Roman"/>
                <w:sz w:val="16"/>
                <w:szCs w:val="16"/>
              </w:rPr>
              <w:lastRenderedPageBreak/>
              <w:t>ment date of the Loan as defined in the Loan Documents.</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9.</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Benchmark Treas</w:t>
            </w:r>
            <w:r w:rsidRPr="00E32D35">
              <w:rPr>
                <w:rFonts w:ascii="Georgia" w:eastAsia="Times New Roman" w:hAnsi="Georgia" w:cs="Times New Roman"/>
                <w:b/>
                <w:bCs/>
                <w:sz w:val="16"/>
                <w:szCs w:val="16"/>
              </w:rPr>
              <w:lastRenderedPageBreak/>
              <w:t>ury:</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the interpolate</w:t>
            </w:r>
            <w:r w:rsidRPr="00E32D35">
              <w:rPr>
                <w:rFonts w:ascii="Georgia" w:eastAsia="Times New Roman" w:hAnsi="Georgia" w:cs="Times New Roman"/>
                <w:sz w:val="16"/>
                <w:szCs w:val="16"/>
              </w:rPr>
              <w:lastRenderedPageBreak/>
              <w:t>d 9-year U.S. Treasury Note</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10.</w:t>
            </w:r>
          </w:p>
        </w:tc>
        <w:tc>
          <w:tcPr>
            <w:tcW w:w="0" w:type="auto"/>
            <w:noWrap/>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Benchmark Swap Rate: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mid-market 9 year swap rate as identified o</w:t>
            </w:r>
            <w:r w:rsidRPr="00E32D35">
              <w:rPr>
                <w:rFonts w:ascii="Georgia" w:eastAsia="Times New Roman" w:hAnsi="Georgia" w:cs="Times New Roman"/>
                <w:sz w:val="16"/>
                <w:szCs w:val="16"/>
              </w:rPr>
              <w:lastRenderedPageBreak/>
              <w:t>n the Market Data</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noWrap/>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jc w:val="right"/>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gridSpan w:val="3"/>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Services Page T19901 (or such other data service as selected by UBS)</w:t>
            </w:r>
          </w:p>
        </w:tc>
      </w:tr>
    </w:tbl>
    <w:p w:rsidR="00B60870" w:rsidRPr="00E32D35" w:rsidRDefault="00B60870" w:rsidP="00E32D35">
      <w:pPr>
        <w:shd w:val="clear" w:color="auto" w:fill="FFFFFF"/>
        <w:spacing w:before="100" w:beforeAutospacing="1" w:after="100" w:afterAutospacing="1"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t>7</w:t>
      </w:r>
    </w:p>
    <w:p w:rsidR="00B60870" w:rsidRPr="00E32D35" w:rsidRDefault="00C8300E"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pict>
          <v:rect id="_x0000_i1031" style="width:0;height:1.5pt" o:hralign="center" o:hrstd="t" o:hrnoshade="t" o:hr="t" fillcolor="#333" stroked="f"/>
        </w:pict>
      </w:r>
    </w:p>
    <w:p w:rsidR="00B60870" w:rsidRPr="00E32D35" w:rsidRDefault="00B60870" w:rsidP="00E32D35">
      <w:pPr>
        <w:pageBreakBefore/>
        <w:shd w:val="clear" w:color="auto" w:fill="FFFFFF"/>
        <w:spacing w:before="100" w:beforeAutospacing="1" w:after="100" w:afterAutospacing="1" w:line="240" w:lineRule="auto"/>
        <w:ind w:right="2520"/>
        <w:outlineLvl w:val="4"/>
        <w:rPr>
          <w:rFonts w:ascii="Georgia" w:eastAsia="Times New Roman" w:hAnsi="Georgia" w:cs="Arial"/>
          <w:b/>
          <w:bCs/>
          <w:color w:val="333333"/>
          <w:sz w:val="16"/>
          <w:szCs w:val="16"/>
        </w:rPr>
      </w:pPr>
      <w:r w:rsidRPr="00E32D35">
        <w:rPr>
          <w:rFonts w:ascii="Georgia" w:eastAsia="Times New Roman" w:hAnsi="Georgia" w:cs="Arial"/>
          <w:b/>
          <w:bCs/>
          <w:color w:val="333333"/>
          <w:sz w:val="16"/>
          <w:szCs w:val="16"/>
        </w:rPr>
        <w:lastRenderedPageBreak/>
        <w:t> </w:t>
      </w:r>
    </w:p>
    <w:p w:rsidR="00B60870" w:rsidRPr="00E32D35" w:rsidRDefault="00B60870" w:rsidP="00E32D35">
      <w:pPr>
        <w:shd w:val="clear" w:color="auto" w:fill="FFFFFF"/>
        <w:spacing w:after="0" w:line="240" w:lineRule="auto"/>
        <w:ind w:right="2520"/>
        <w:rPr>
          <w:rFonts w:ascii="Georgia" w:eastAsia="Times New Roman" w:hAnsi="Georgia" w:cs="Arial"/>
          <w:color w:val="333333"/>
          <w:sz w:val="16"/>
          <w:szCs w:val="16"/>
        </w:rPr>
      </w:pPr>
      <w:r w:rsidRPr="00E32D35">
        <w:rPr>
          <w:rFonts w:ascii="Georgia" w:eastAsia="Times New Roman" w:hAnsi="Georgia" w:cs="Arial"/>
          <w:color w:val="333333"/>
          <w:sz w:val="16"/>
          <w:szCs w:val="16"/>
        </w:rPr>
        <w:t>          This Confirmation shall be void and of no effect unless the Rate Lock Deposit is paid in immediately available funds simultaneously herewith.</w:t>
      </w:r>
    </w:p>
    <w:tbl>
      <w:tblPr>
        <w:tblW w:w="5000" w:type="pct"/>
        <w:jc w:val="center"/>
        <w:tblCellSpacing w:w="0" w:type="dxa"/>
        <w:tblCellMar>
          <w:left w:w="0" w:type="dxa"/>
          <w:right w:w="0" w:type="dxa"/>
        </w:tblCellMar>
        <w:tblLook w:val="04A0"/>
      </w:tblPr>
      <w:tblGrid>
        <w:gridCol w:w="1247"/>
        <w:gridCol w:w="1247"/>
        <w:gridCol w:w="1458"/>
        <w:gridCol w:w="1247"/>
        <w:gridCol w:w="1667"/>
        <w:gridCol w:w="1247"/>
        <w:gridCol w:w="1247"/>
      </w:tblGrid>
      <w:tr w:rsidR="00B60870" w:rsidRPr="00E32D35" w:rsidTr="00B60870">
        <w:trPr>
          <w:tblCellSpacing w:w="0" w:type="dxa"/>
          <w:jc w:val="center"/>
        </w:trPr>
        <w:tc>
          <w:tcPr>
            <w:tcW w:w="24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75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1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400" w:type="pct"/>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gridSpan w:val="3"/>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b/>
                <w:bCs/>
                <w:sz w:val="16"/>
                <w:szCs w:val="16"/>
              </w:rPr>
              <w:t>UBS REAL ESTATE INVESTMENTS INC.</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gridSpan w:val="3"/>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By: /S/ GRETA GUGGENHEIM</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Name: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Greta Guggenheim</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Title: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By:</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tcBorders>
              <w:top w:val="single" w:sz="6" w:space="0" w:color="000000"/>
            </w:tcBorders>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Name: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Title: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gridSpan w:val="3"/>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Ashford Hospitality Limited Partnership</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gridSpan w:val="3"/>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/S/ DAVID A. BROOKS</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gridSpan w:val="3"/>
            <w:tcBorders>
              <w:top w:val="single" w:sz="6" w:space="0" w:color="000000"/>
            </w:tcBorders>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center"/>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Name: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David A. Brooks</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r w:rsidR="00B60870" w:rsidRPr="00E32D35" w:rsidTr="00B60870">
        <w:trPr>
          <w:tblCellSpacing w:w="0" w:type="dxa"/>
          <w:jc w:val="center"/>
        </w:trPr>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lastRenderedPageBreak/>
              <w:t> </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Title:</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Chief Legal Officer</w:t>
            </w:r>
          </w:p>
        </w:tc>
        <w:tc>
          <w:tcPr>
            <w:tcW w:w="0" w:type="auto"/>
            <w:vAlign w:val="bottom"/>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c>
          <w:tcPr>
            <w:tcW w:w="0" w:type="auto"/>
            <w:hideMark/>
          </w:tcPr>
          <w:p w:rsidR="00B60870" w:rsidRPr="00E32D35" w:rsidRDefault="00B60870" w:rsidP="00E32D35">
            <w:pPr>
              <w:spacing w:after="0" w:line="240" w:lineRule="auto"/>
              <w:ind w:right="2520"/>
              <w:rPr>
                <w:rFonts w:ascii="Georgia" w:eastAsia="Times New Roman" w:hAnsi="Georgia" w:cs="Times New Roman"/>
                <w:sz w:val="16"/>
                <w:szCs w:val="16"/>
              </w:rPr>
            </w:pPr>
            <w:r w:rsidRPr="00E32D35">
              <w:rPr>
                <w:rFonts w:ascii="Georgia" w:eastAsia="Times New Roman" w:hAnsi="Georgia" w:cs="Times New Roman"/>
                <w:sz w:val="16"/>
                <w:szCs w:val="16"/>
              </w:rPr>
              <w:t> </w:t>
            </w:r>
          </w:p>
        </w:tc>
      </w:tr>
    </w:tbl>
    <w:p w:rsidR="00B60870" w:rsidRPr="00E32D35" w:rsidRDefault="00B60870" w:rsidP="00E32D35">
      <w:pPr>
        <w:shd w:val="clear" w:color="auto" w:fill="FFFFFF"/>
        <w:spacing w:before="100" w:beforeAutospacing="1" w:after="100" w:afterAutospacing="1" w:line="240" w:lineRule="auto"/>
        <w:ind w:right="2520"/>
        <w:jc w:val="center"/>
        <w:rPr>
          <w:rFonts w:ascii="Georgia" w:eastAsia="Times New Roman" w:hAnsi="Georgia" w:cs="Arial"/>
          <w:color w:val="333333"/>
          <w:sz w:val="16"/>
          <w:szCs w:val="16"/>
        </w:rPr>
      </w:pPr>
      <w:r w:rsidRPr="00E32D35">
        <w:rPr>
          <w:rFonts w:ascii="Georgia" w:eastAsia="Times New Roman" w:hAnsi="Georgia" w:cs="Arial"/>
          <w:color w:val="333333"/>
          <w:sz w:val="16"/>
          <w:szCs w:val="16"/>
        </w:rPr>
        <w:t>8</w:t>
      </w:r>
    </w:p>
    <w:p w:rsidR="00B60870" w:rsidRPr="00E32D35" w:rsidRDefault="00B60870" w:rsidP="00E32D35">
      <w:pPr>
        <w:ind w:right="2520"/>
        <w:jc w:val="center"/>
        <w:rPr>
          <w:rFonts w:ascii="Georgia" w:hAnsi="Georgia"/>
          <w:b/>
          <w:sz w:val="16"/>
          <w:szCs w:val="16"/>
        </w:rPr>
      </w:pPr>
    </w:p>
    <w:sectPr w:rsidR="00B60870" w:rsidRPr="00E32D35" w:rsidSect="00871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870"/>
    <w:rsid w:val="001C4F49"/>
    <w:rsid w:val="002A018D"/>
    <w:rsid w:val="0087130D"/>
    <w:rsid w:val="00B60870"/>
    <w:rsid w:val="00C8300E"/>
    <w:rsid w:val="00E32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0D"/>
  </w:style>
  <w:style w:type="paragraph" w:styleId="Heading5">
    <w:name w:val="heading 5"/>
    <w:basedOn w:val="Normal"/>
    <w:link w:val="Heading5Char"/>
    <w:uiPriority w:val="9"/>
    <w:qFormat/>
    <w:rsid w:val="00B608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6087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60870"/>
  </w:style>
  <w:style w:type="paragraph" w:styleId="NormalWeb">
    <w:name w:val="Normal (Web)"/>
    <w:basedOn w:val="Normal"/>
    <w:uiPriority w:val="99"/>
    <w:semiHidden/>
    <w:unhideWhenUsed/>
    <w:rsid w:val="00B60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3341551">
      <w:bodyDiv w:val="1"/>
      <w:marLeft w:val="0"/>
      <w:marRight w:val="0"/>
      <w:marTop w:val="0"/>
      <w:marBottom w:val="0"/>
      <w:divBdr>
        <w:top w:val="none" w:sz="0" w:space="0" w:color="auto"/>
        <w:left w:val="none" w:sz="0" w:space="0" w:color="auto"/>
        <w:bottom w:val="none" w:sz="0" w:space="0" w:color="auto"/>
        <w:right w:val="none" w:sz="0" w:space="0" w:color="auto"/>
      </w:divBdr>
      <w:divsChild>
        <w:div w:id="1759060026">
          <w:marLeft w:val="0"/>
          <w:marRight w:val="0"/>
          <w:marTop w:val="0"/>
          <w:marBottom w:val="0"/>
          <w:divBdr>
            <w:top w:val="none" w:sz="0" w:space="0" w:color="auto"/>
            <w:left w:val="none" w:sz="0" w:space="0" w:color="auto"/>
            <w:bottom w:val="none" w:sz="0" w:space="0" w:color="auto"/>
            <w:right w:val="none" w:sz="0" w:space="0" w:color="auto"/>
          </w:divBdr>
          <w:divsChild>
            <w:div w:id="592952">
              <w:marLeft w:val="0"/>
              <w:marRight w:val="0"/>
              <w:marTop w:val="360"/>
              <w:marBottom w:val="0"/>
              <w:divBdr>
                <w:top w:val="none" w:sz="0" w:space="0" w:color="auto"/>
                <w:left w:val="none" w:sz="0" w:space="0" w:color="auto"/>
                <w:bottom w:val="none" w:sz="0" w:space="0" w:color="auto"/>
                <w:right w:val="none" w:sz="0" w:space="0" w:color="auto"/>
              </w:divBdr>
            </w:div>
            <w:div w:id="1060178510">
              <w:marLeft w:val="0"/>
              <w:marRight w:val="0"/>
              <w:marTop w:val="120"/>
              <w:marBottom w:val="0"/>
              <w:divBdr>
                <w:top w:val="none" w:sz="0" w:space="0" w:color="auto"/>
                <w:left w:val="none" w:sz="0" w:space="0" w:color="auto"/>
                <w:bottom w:val="none" w:sz="0" w:space="0" w:color="auto"/>
                <w:right w:val="none" w:sz="0" w:space="0" w:color="auto"/>
              </w:divBdr>
            </w:div>
            <w:div w:id="1347709878">
              <w:marLeft w:val="0"/>
              <w:marRight w:val="0"/>
              <w:marTop w:val="120"/>
              <w:marBottom w:val="0"/>
              <w:divBdr>
                <w:top w:val="none" w:sz="0" w:space="0" w:color="auto"/>
                <w:left w:val="none" w:sz="0" w:space="0" w:color="auto"/>
                <w:bottom w:val="none" w:sz="0" w:space="0" w:color="auto"/>
                <w:right w:val="none" w:sz="0" w:space="0" w:color="auto"/>
              </w:divBdr>
            </w:div>
            <w:div w:id="1572616049">
              <w:marLeft w:val="0"/>
              <w:marRight w:val="0"/>
              <w:marTop w:val="120"/>
              <w:marBottom w:val="0"/>
              <w:divBdr>
                <w:top w:val="none" w:sz="0" w:space="0" w:color="auto"/>
                <w:left w:val="none" w:sz="0" w:space="0" w:color="auto"/>
                <w:bottom w:val="none" w:sz="0" w:space="0" w:color="auto"/>
                <w:right w:val="none" w:sz="0" w:space="0" w:color="auto"/>
              </w:divBdr>
            </w:div>
            <w:div w:id="34745726">
              <w:marLeft w:val="0"/>
              <w:marRight w:val="0"/>
              <w:marTop w:val="120"/>
              <w:marBottom w:val="0"/>
              <w:divBdr>
                <w:top w:val="none" w:sz="0" w:space="0" w:color="auto"/>
                <w:left w:val="none" w:sz="0" w:space="0" w:color="auto"/>
                <w:bottom w:val="none" w:sz="0" w:space="0" w:color="auto"/>
                <w:right w:val="none" w:sz="0" w:space="0" w:color="auto"/>
              </w:divBdr>
            </w:div>
            <w:div w:id="1378701623">
              <w:marLeft w:val="0"/>
              <w:marRight w:val="0"/>
              <w:marTop w:val="120"/>
              <w:marBottom w:val="0"/>
              <w:divBdr>
                <w:top w:val="none" w:sz="0" w:space="0" w:color="auto"/>
                <w:left w:val="none" w:sz="0" w:space="0" w:color="auto"/>
                <w:bottom w:val="none" w:sz="0" w:space="0" w:color="auto"/>
                <w:right w:val="none" w:sz="0" w:space="0" w:color="auto"/>
              </w:divBdr>
            </w:div>
            <w:div w:id="1236671192">
              <w:marLeft w:val="0"/>
              <w:marRight w:val="0"/>
              <w:marTop w:val="120"/>
              <w:marBottom w:val="0"/>
              <w:divBdr>
                <w:top w:val="none" w:sz="0" w:space="0" w:color="auto"/>
                <w:left w:val="none" w:sz="0" w:space="0" w:color="auto"/>
                <w:bottom w:val="none" w:sz="0" w:space="0" w:color="auto"/>
                <w:right w:val="none" w:sz="0" w:space="0" w:color="auto"/>
              </w:divBdr>
            </w:div>
            <w:div w:id="1549876054">
              <w:marLeft w:val="0"/>
              <w:marRight w:val="0"/>
              <w:marTop w:val="120"/>
              <w:marBottom w:val="0"/>
              <w:divBdr>
                <w:top w:val="none" w:sz="0" w:space="0" w:color="auto"/>
                <w:left w:val="none" w:sz="0" w:space="0" w:color="auto"/>
                <w:bottom w:val="none" w:sz="0" w:space="0" w:color="auto"/>
                <w:right w:val="none" w:sz="0" w:space="0" w:color="auto"/>
              </w:divBdr>
            </w:div>
            <w:div w:id="1598057229">
              <w:marLeft w:val="0"/>
              <w:marRight w:val="0"/>
              <w:marTop w:val="120"/>
              <w:marBottom w:val="0"/>
              <w:divBdr>
                <w:top w:val="none" w:sz="0" w:space="0" w:color="auto"/>
                <w:left w:val="none" w:sz="0" w:space="0" w:color="auto"/>
                <w:bottom w:val="none" w:sz="0" w:space="0" w:color="auto"/>
                <w:right w:val="none" w:sz="0" w:space="0" w:color="auto"/>
              </w:divBdr>
            </w:div>
          </w:divsChild>
        </w:div>
        <w:div w:id="1830751607">
          <w:marLeft w:val="0"/>
          <w:marRight w:val="0"/>
          <w:marTop w:val="0"/>
          <w:marBottom w:val="0"/>
          <w:divBdr>
            <w:top w:val="none" w:sz="0" w:space="0" w:color="auto"/>
            <w:left w:val="none" w:sz="0" w:space="0" w:color="auto"/>
            <w:bottom w:val="none" w:sz="0" w:space="0" w:color="auto"/>
            <w:right w:val="none" w:sz="0" w:space="0" w:color="auto"/>
          </w:divBdr>
          <w:divsChild>
            <w:div w:id="1944877447">
              <w:marLeft w:val="0"/>
              <w:marRight w:val="0"/>
              <w:marTop w:val="120"/>
              <w:marBottom w:val="0"/>
              <w:divBdr>
                <w:top w:val="none" w:sz="0" w:space="0" w:color="auto"/>
                <w:left w:val="none" w:sz="0" w:space="0" w:color="auto"/>
                <w:bottom w:val="none" w:sz="0" w:space="0" w:color="auto"/>
                <w:right w:val="none" w:sz="0" w:space="0" w:color="auto"/>
              </w:divBdr>
            </w:div>
            <w:div w:id="1792240774">
              <w:marLeft w:val="0"/>
              <w:marRight w:val="0"/>
              <w:marTop w:val="120"/>
              <w:marBottom w:val="0"/>
              <w:divBdr>
                <w:top w:val="none" w:sz="0" w:space="0" w:color="auto"/>
                <w:left w:val="none" w:sz="0" w:space="0" w:color="auto"/>
                <w:bottom w:val="none" w:sz="0" w:space="0" w:color="auto"/>
                <w:right w:val="none" w:sz="0" w:space="0" w:color="auto"/>
              </w:divBdr>
            </w:div>
            <w:div w:id="2069106053">
              <w:marLeft w:val="0"/>
              <w:marRight w:val="0"/>
              <w:marTop w:val="120"/>
              <w:marBottom w:val="0"/>
              <w:divBdr>
                <w:top w:val="none" w:sz="0" w:space="0" w:color="auto"/>
                <w:left w:val="none" w:sz="0" w:space="0" w:color="auto"/>
                <w:bottom w:val="none" w:sz="0" w:space="0" w:color="auto"/>
                <w:right w:val="none" w:sz="0" w:space="0" w:color="auto"/>
              </w:divBdr>
            </w:div>
            <w:div w:id="1075737905">
              <w:marLeft w:val="0"/>
              <w:marRight w:val="0"/>
              <w:marTop w:val="120"/>
              <w:marBottom w:val="0"/>
              <w:divBdr>
                <w:top w:val="none" w:sz="0" w:space="0" w:color="auto"/>
                <w:left w:val="none" w:sz="0" w:space="0" w:color="auto"/>
                <w:bottom w:val="none" w:sz="0" w:space="0" w:color="auto"/>
                <w:right w:val="none" w:sz="0" w:space="0" w:color="auto"/>
              </w:divBdr>
            </w:div>
            <w:div w:id="317735556">
              <w:marLeft w:val="0"/>
              <w:marRight w:val="0"/>
              <w:marTop w:val="120"/>
              <w:marBottom w:val="0"/>
              <w:divBdr>
                <w:top w:val="none" w:sz="0" w:space="0" w:color="auto"/>
                <w:left w:val="none" w:sz="0" w:space="0" w:color="auto"/>
                <w:bottom w:val="none" w:sz="0" w:space="0" w:color="auto"/>
                <w:right w:val="none" w:sz="0" w:space="0" w:color="auto"/>
              </w:divBdr>
            </w:div>
          </w:divsChild>
        </w:div>
        <w:div w:id="1121414116">
          <w:marLeft w:val="0"/>
          <w:marRight w:val="0"/>
          <w:marTop w:val="0"/>
          <w:marBottom w:val="0"/>
          <w:divBdr>
            <w:top w:val="none" w:sz="0" w:space="0" w:color="auto"/>
            <w:left w:val="none" w:sz="0" w:space="0" w:color="auto"/>
            <w:bottom w:val="none" w:sz="0" w:space="0" w:color="auto"/>
            <w:right w:val="none" w:sz="0" w:space="0" w:color="auto"/>
          </w:divBdr>
          <w:divsChild>
            <w:div w:id="650602968">
              <w:marLeft w:val="0"/>
              <w:marRight w:val="0"/>
              <w:marTop w:val="120"/>
              <w:marBottom w:val="0"/>
              <w:divBdr>
                <w:top w:val="none" w:sz="0" w:space="0" w:color="auto"/>
                <w:left w:val="none" w:sz="0" w:space="0" w:color="auto"/>
                <w:bottom w:val="none" w:sz="0" w:space="0" w:color="auto"/>
                <w:right w:val="none" w:sz="0" w:space="0" w:color="auto"/>
              </w:divBdr>
            </w:div>
            <w:div w:id="919869144">
              <w:marLeft w:val="0"/>
              <w:marRight w:val="0"/>
              <w:marTop w:val="120"/>
              <w:marBottom w:val="0"/>
              <w:divBdr>
                <w:top w:val="none" w:sz="0" w:space="0" w:color="auto"/>
                <w:left w:val="none" w:sz="0" w:space="0" w:color="auto"/>
                <w:bottom w:val="none" w:sz="0" w:space="0" w:color="auto"/>
                <w:right w:val="none" w:sz="0" w:space="0" w:color="auto"/>
              </w:divBdr>
            </w:div>
            <w:div w:id="2088305554">
              <w:marLeft w:val="0"/>
              <w:marRight w:val="0"/>
              <w:marTop w:val="120"/>
              <w:marBottom w:val="0"/>
              <w:divBdr>
                <w:top w:val="none" w:sz="0" w:space="0" w:color="auto"/>
                <w:left w:val="none" w:sz="0" w:space="0" w:color="auto"/>
                <w:bottom w:val="none" w:sz="0" w:space="0" w:color="auto"/>
                <w:right w:val="none" w:sz="0" w:space="0" w:color="auto"/>
              </w:divBdr>
            </w:div>
            <w:div w:id="105320704">
              <w:marLeft w:val="0"/>
              <w:marRight w:val="0"/>
              <w:marTop w:val="120"/>
              <w:marBottom w:val="0"/>
              <w:divBdr>
                <w:top w:val="none" w:sz="0" w:space="0" w:color="auto"/>
                <w:left w:val="none" w:sz="0" w:space="0" w:color="auto"/>
                <w:bottom w:val="none" w:sz="0" w:space="0" w:color="auto"/>
                <w:right w:val="none" w:sz="0" w:space="0" w:color="auto"/>
              </w:divBdr>
            </w:div>
            <w:div w:id="726684329">
              <w:marLeft w:val="0"/>
              <w:marRight w:val="0"/>
              <w:marTop w:val="120"/>
              <w:marBottom w:val="0"/>
              <w:divBdr>
                <w:top w:val="none" w:sz="0" w:space="0" w:color="auto"/>
                <w:left w:val="none" w:sz="0" w:space="0" w:color="auto"/>
                <w:bottom w:val="none" w:sz="0" w:space="0" w:color="auto"/>
                <w:right w:val="none" w:sz="0" w:space="0" w:color="auto"/>
              </w:divBdr>
            </w:div>
          </w:divsChild>
        </w:div>
        <w:div w:id="734163390">
          <w:marLeft w:val="0"/>
          <w:marRight w:val="0"/>
          <w:marTop w:val="0"/>
          <w:marBottom w:val="0"/>
          <w:divBdr>
            <w:top w:val="none" w:sz="0" w:space="0" w:color="auto"/>
            <w:left w:val="none" w:sz="0" w:space="0" w:color="auto"/>
            <w:bottom w:val="none" w:sz="0" w:space="0" w:color="auto"/>
            <w:right w:val="none" w:sz="0" w:space="0" w:color="auto"/>
          </w:divBdr>
          <w:divsChild>
            <w:div w:id="526410162">
              <w:marLeft w:val="0"/>
              <w:marRight w:val="0"/>
              <w:marTop w:val="120"/>
              <w:marBottom w:val="0"/>
              <w:divBdr>
                <w:top w:val="none" w:sz="0" w:space="0" w:color="auto"/>
                <w:left w:val="none" w:sz="0" w:space="0" w:color="auto"/>
                <w:bottom w:val="none" w:sz="0" w:space="0" w:color="auto"/>
                <w:right w:val="none" w:sz="0" w:space="0" w:color="auto"/>
              </w:divBdr>
            </w:div>
            <w:div w:id="282614398">
              <w:marLeft w:val="3"/>
              <w:marRight w:val="0"/>
              <w:marTop w:val="120"/>
              <w:marBottom w:val="0"/>
              <w:divBdr>
                <w:top w:val="none" w:sz="0" w:space="0" w:color="auto"/>
                <w:left w:val="none" w:sz="0" w:space="0" w:color="auto"/>
                <w:bottom w:val="none" w:sz="0" w:space="0" w:color="auto"/>
                <w:right w:val="none" w:sz="0" w:space="0" w:color="auto"/>
              </w:divBdr>
            </w:div>
            <w:div w:id="791243726">
              <w:marLeft w:val="3"/>
              <w:marRight w:val="0"/>
              <w:marTop w:val="120"/>
              <w:marBottom w:val="0"/>
              <w:divBdr>
                <w:top w:val="none" w:sz="0" w:space="0" w:color="auto"/>
                <w:left w:val="none" w:sz="0" w:space="0" w:color="auto"/>
                <w:bottom w:val="none" w:sz="0" w:space="0" w:color="auto"/>
                <w:right w:val="none" w:sz="0" w:space="0" w:color="auto"/>
              </w:divBdr>
            </w:div>
            <w:div w:id="1609507120">
              <w:marLeft w:val="3"/>
              <w:marRight w:val="0"/>
              <w:marTop w:val="120"/>
              <w:marBottom w:val="0"/>
              <w:divBdr>
                <w:top w:val="none" w:sz="0" w:space="0" w:color="auto"/>
                <w:left w:val="none" w:sz="0" w:space="0" w:color="auto"/>
                <w:bottom w:val="none" w:sz="0" w:space="0" w:color="auto"/>
                <w:right w:val="none" w:sz="0" w:space="0" w:color="auto"/>
              </w:divBdr>
            </w:div>
            <w:div w:id="929655158">
              <w:marLeft w:val="0"/>
              <w:marRight w:val="0"/>
              <w:marTop w:val="120"/>
              <w:marBottom w:val="0"/>
              <w:divBdr>
                <w:top w:val="none" w:sz="0" w:space="0" w:color="auto"/>
                <w:left w:val="none" w:sz="0" w:space="0" w:color="auto"/>
                <w:bottom w:val="none" w:sz="0" w:space="0" w:color="auto"/>
                <w:right w:val="none" w:sz="0" w:space="0" w:color="auto"/>
              </w:divBdr>
            </w:div>
            <w:div w:id="302777672">
              <w:marLeft w:val="0"/>
              <w:marRight w:val="0"/>
              <w:marTop w:val="120"/>
              <w:marBottom w:val="0"/>
              <w:divBdr>
                <w:top w:val="none" w:sz="0" w:space="0" w:color="auto"/>
                <w:left w:val="none" w:sz="0" w:space="0" w:color="auto"/>
                <w:bottom w:val="none" w:sz="0" w:space="0" w:color="auto"/>
                <w:right w:val="none" w:sz="0" w:space="0" w:color="auto"/>
              </w:divBdr>
            </w:div>
            <w:div w:id="924417479">
              <w:marLeft w:val="5"/>
              <w:marRight w:val="0"/>
              <w:marTop w:val="120"/>
              <w:marBottom w:val="0"/>
              <w:divBdr>
                <w:top w:val="none" w:sz="0" w:space="0" w:color="auto"/>
                <w:left w:val="none" w:sz="0" w:space="0" w:color="auto"/>
                <w:bottom w:val="none" w:sz="0" w:space="0" w:color="auto"/>
                <w:right w:val="none" w:sz="0" w:space="0" w:color="auto"/>
              </w:divBdr>
            </w:div>
            <w:div w:id="1453282034">
              <w:marLeft w:val="5"/>
              <w:marRight w:val="0"/>
              <w:marTop w:val="120"/>
              <w:marBottom w:val="0"/>
              <w:divBdr>
                <w:top w:val="none" w:sz="0" w:space="0" w:color="auto"/>
                <w:left w:val="none" w:sz="0" w:space="0" w:color="auto"/>
                <w:bottom w:val="none" w:sz="0" w:space="0" w:color="auto"/>
                <w:right w:val="none" w:sz="0" w:space="0" w:color="auto"/>
              </w:divBdr>
            </w:div>
            <w:div w:id="591935269">
              <w:marLeft w:val="0"/>
              <w:marRight w:val="0"/>
              <w:marTop w:val="120"/>
              <w:marBottom w:val="0"/>
              <w:divBdr>
                <w:top w:val="none" w:sz="0" w:space="0" w:color="auto"/>
                <w:left w:val="none" w:sz="0" w:space="0" w:color="auto"/>
                <w:bottom w:val="none" w:sz="0" w:space="0" w:color="auto"/>
                <w:right w:val="none" w:sz="0" w:space="0" w:color="auto"/>
              </w:divBdr>
            </w:div>
          </w:divsChild>
        </w:div>
        <w:div w:id="1106464252">
          <w:marLeft w:val="0"/>
          <w:marRight w:val="0"/>
          <w:marTop w:val="0"/>
          <w:marBottom w:val="0"/>
          <w:divBdr>
            <w:top w:val="none" w:sz="0" w:space="0" w:color="auto"/>
            <w:left w:val="none" w:sz="0" w:space="0" w:color="auto"/>
            <w:bottom w:val="none" w:sz="0" w:space="0" w:color="auto"/>
            <w:right w:val="none" w:sz="0" w:space="0" w:color="auto"/>
          </w:divBdr>
          <w:divsChild>
            <w:div w:id="794713500">
              <w:marLeft w:val="0"/>
              <w:marRight w:val="0"/>
              <w:marTop w:val="120"/>
              <w:marBottom w:val="0"/>
              <w:divBdr>
                <w:top w:val="none" w:sz="0" w:space="0" w:color="auto"/>
                <w:left w:val="none" w:sz="0" w:space="0" w:color="auto"/>
                <w:bottom w:val="none" w:sz="0" w:space="0" w:color="auto"/>
                <w:right w:val="none" w:sz="0" w:space="0" w:color="auto"/>
              </w:divBdr>
            </w:div>
          </w:divsChild>
        </w:div>
        <w:div w:id="115026269">
          <w:marLeft w:val="0"/>
          <w:marRight w:val="0"/>
          <w:marTop w:val="0"/>
          <w:marBottom w:val="0"/>
          <w:divBdr>
            <w:top w:val="none" w:sz="0" w:space="0" w:color="auto"/>
            <w:left w:val="none" w:sz="0" w:space="0" w:color="auto"/>
            <w:bottom w:val="none" w:sz="0" w:space="0" w:color="auto"/>
            <w:right w:val="none" w:sz="0" w:space="0" w:color="auto"/>
          </w:divBdr>
          <w:divsChild>
            <w:div w:id="1296137224">
              <w:marLeft w:val="0"/>
              <w:marRight w:val="0"/>
              <w:marTop w:val="120"/>
              <w:marBottom w:val="0"/>
              <w:divBdr>
                <w:top w:val="none" w:sz="0" w:space="0" w:color="auto"/>
                <w:left w:val="none" w:sz="0" w:space="0" w:color="auto"/>
                <w:bottom w:val="none" w:sz="0" w:space="0" w:color="auto"/>
                <w:right w:val="none" w:sz="0" w:space="0" w:color="auto"/>
              </w:divBdr>
            </w:div>
            <w:div w:id="1842114405">
              <w:marLeft w:val="0"/>
              <w:marRight w:val="0"/>
              <w:marTop w:val="120"/>
              <w:marBottom w:val="0"/>
              <w:divBdr>
                <w:top w:val="none" w:sz="0" w:space="0" w:color="auto"/>
                <w:left w:val="none" w:sz="0" w:space="0" w:color="auto"/>
                <w:bottom w:val="none" w:sz="0" w:space="0" w:color="auto"/>
                <w:right w:val="none" w:sz="0" w:space="0" w:color="auto"/>
              </w:divBdr>
            </w:div>
            <w:div w:id="636765454">
              <w:marLeft w:val="0"/>
              <w:marRight w:val="0"/>
              <w:marTop w:val="0"/>
              <w:marBottom w:val="0"/>
              <w:divBdr>
                <w:top w:val="none" w:sz="0" w:space="0" w:color="auto"/>
                <w:left w:val="none" w:sz="0" w:space="0" w:color="auto"/>
                <w:bottom w:val="none" w:sz="0" w:space="0" w:color="auto"/>
                <w:right w:val="none" w:sz="0" w:space="0" w:color="auto"/>
              </w:divBdr>
            </w:div>
            <w:div w:id="1251692690">
              <w:marLeft w:val="0"/>
              <w:marRight w:val="0"/>
              <w:marTop w:val="0"/>
              <w:marBottom w:val="0"/>
              <w:divBdr>
                <w:top w:val="none" w:sz="0" w:space="0" w:color="auto"/>
                <w:left w:val="none" w:sz="0" w:space="0" w:color="auto"/>
                <w:bottom w:val="none" w:sz="0" w:space="0" w:color="auto"/>
                <w:right w:val="none" w:sz="0" w:space="0" w:color="auto"/>
              </w:divBdr>
            </w:div>
            <w:div w:id="16348826">
              <w:marLeft w:val="0"/>
              <w:marRight w:val="0"/>
              <w:marTop w:val="0"/>
              <w:marBottom w:val="0"/>
              <w:divBdr>
                <w:top w:val="none" w:sz="0" w:space="0" w:color="auto"/>
                <w:left w:val="none" w:sz="0" w:space="0" w:color="auto"/>
                <w:bottom w:val="none" w:sz="0" w:space="0" w:color="auto"/>
                <w:right w:val="none" w:sz="0" w:space="0" w:color="auto"/>
              </w:divBdr>
            </w:div>
            <w:div w:id="650064817">
              <w:marLeft w:val="0"/>
              <w:marRight w:val="0"/>
              <w:marTop w:val="0"/>
              <w:marBottom w:val="0"/>
              <w:divBdr>
                <w:top w:val="none" w:sz="0" w:space="0" w:color="auto"/>
                <w:left w:val="none" w:sz="0" w:space="0" w:color="auto"/>
                <w:bottom w:val="none" w:sz="0" w:space="0" w:color="auto"/>
                <w:right w:val="none" w:sz="0" w:space="0" w:color="auto"/>
              </w:divBdr>
            </w:div>
            <w:div w:id="725758614">
              <w:marLeft w:val="0"/>
              <w:marRight w:val="0"/>
              <w:marTop w:val="0"/>
              <w:marBottom w:val="0"/>
              <w:divBdr>
                <w:top w:val="none" w:sz="0" w:space="0" w:color="auto"/>
                <w:left w:val="none" w:sz="0" w:space="0" w:color="auto"/>
                <w:bottom w:val="none" w:sz="0" w:space="0" w:color="auto"/>
                <w:right w:val="none" w:sz="0" w:space="0" w:color="auto"/>
              </w:divBdr>
            </w:div>
            <w:div w:id="1176964458">
              <w:marLeft w:val="0"/>
              <w:marRight w:val="0"/>
              <w:marTop w:val="0"/>
              <w:marBottom w:val="0"/>
              <w:divBdr>
                <w:top w:val="none" w:sz="0" w:space="0" w:color="auto"/>
                <w:left w:val="none" w:sz="0" w:space="0" w:color="auto"/>
                <w:bottom w:val="none" w:sz="0" w:space="0" w:color="auto"/>
                <w:right w:val="none" w:sz="0" w:space="0" w:color="auto"/>
              </w:divBdr>
            </w:div>
            <w:div w:id="667829783">
              <w:marLeft w:val="0"/>
              <w:marRight w:val="0"/>
              <w:marTop w:val="0"/>
              <w:marBottom w:val="0"/>
              <w:divBdr>
                <w:top w:val="none" w:sz="0" w:space="0" w:color="auto"/>
                <w:left w:val="none" w:sz="0" w:space="0" w:color="auto"/>
                <w:bottom w:val="none" w:sz="0" w:space="0" w:color="auto"/>
                <w:right w:val="none" w:sz="0" w:space="0" w:color="auto"/>
              </w:divBdr>
            </w:div>
            <w:div w:id="134221810">
              <w:marLeft w:val="0"/>
              <w:marRight w:val="0"/>
              <w:marTop w:val="0"/>
              <w:marBottom w:val="0"/>
              <w:divBdr>
                <w:top w:val="none" w:sz="0" w:space="0" w:color="auto"/>
                <w:left w:val="none" w:sz="0" w:space="0" w:color="auto"/>
                <w:bottom w:val="none" w:sz="0" w:space="0" w:color="auto"/>
                <w:right w:val="none" w:sz="0" w:space="0" w:color="auto"/>
              </w:divBdr>
            </w:div>
            <w:div w:id="923882642">
              <w:marLeft w:val="0"/>
              <w:marRight w:val="0"/>
              <w:marTop w:val="0"/>
              <w:marBottom w:val="0"/>
              <w:divBdr>
                <w:top w:val="none" w:sz="0" w:space="0" w:color="auto"/>
                <w:left w:val="none" w:sz="0" w:space="0" w:color="auto"/>
                <w:bottom w:val="none" w:sz="0" w:space="0" w:color="auto"/>
                <w:right w:val="none" w:sz="0" w:space="0" w:color="auto"/>
              </w:divBdr>
            </w:div>
            <w:div w:id="115177433">
              <w:marLeft w:val="0"/>
              <w:marRight w:val="0"/>
              <w:marTop w:val="0"/>
              <w:marBottom w:val="0"/>
              <w:divBdr>
                <w:top w:val="none" w:sz="0" w:space="0" w:color="auto"/>
                <w:left w:val="none" w:sz="0" w:space="0" w:color="auto"/>
                <w:bottom w:val="none" w:sz="0" w:space="0" w:color="auto"/>
                <w:right w:val="none" w:sz="0" w:space="0" w:color="auto"/>
              </w:divBdr>
            </w:div>
            <w:div w:id="1762220619">
              <w:marLeft w:val="0"/>
              <w:marRight w:val="0"/>
              <w:marTop w:val="120"/>
              <w:marBottom w:val="0"/>
              <w:divBdr>
                <w:top w:val="none" w:sz="0" w:space="0" w:color="auto"/>
                <w:left w:val="none" w:sz="0" w:space="0" w:color="auto"/>
                <w:bottom w:val="none" w:sz="0" w:space="0" w:color="auto"/>
                <w:right w:val="none" w:sz="0" w:space="0" w:color="auto"/>
              </w:divBdr>
            </w:div>
            <w:div w:id="516509317">
              <w:marLeft w:val="0"/>
              <w:marRight w:val="0"/>
              <w:marTop w:val="120"/>
              <w:marBottom w:val="0"/>
              <w:divBdr>
                <w:top w:val="none" w:sz="0" w:space="0" w:color="auto"/>
                <w:left w:val="none" w:sz="0" w:space="0" w:color="auto"/>
                <w:bottom w:val="none" w:sz="0" w:space="0" w:color="auto"/>
                <w:right w:val="none" w:sz="0" w:space="0" w:color="auto"/>
              </w:divBdr>
            </w:div>
            <w:div w:id="1794708745">
              <w:marLeft w:val="0"/>
              <w:marRight w:val="0"/>
              <w:marTop w:val="0"/>
              <w:marBottom w:val="0"/>
              <w:divBdr>
                <w:top w:val="none" w:sz="0" w:space="0" w:color="auto"/>
                <w:left w:val="none" w:sz="0" w:space="0" w:color="auto"/>
                <w:bottom w:val="none" w:sz="0" w:space="0" w:color="auto"/>
                <w:right w:val="none" w:sz="0" w:space="0" w:color="auto"/>
              </w:divBdr>
            </w:div>
            <w:div w:id="2040154848">
              <w:marLeft w:val="0"/>
              <w:marRight w:val="0"/>
              <w:marTop w:val="0"/>
              <w:marBottom w:val="0"/>
              <w:divBdr>
                <w:top w:val="none" w:sz="0" w:space="0" w:color="auto"/>
                <w:left w:val="none" w:sz="0" w:space="0" w:color="auto"/>
                <w:bottom w:val="none" w:sz="0" w:space="0" w:color="auto"/>
                <w:right w:val="none" w:sz="0" w:space="0" w:color="auto"/>
              </w:divBdr>
            </w:div>
            <w:div w:id="580793748">
              <w:marLeft w:val="0"/>
              <w:marRight w:val="0"/>
              <w:marTop w:val="0"/>
              <w:marBottom w:val="0"/>
              <w:divBdr>
                <w:top w:val="none" w:sz="0" w:space="0" w:color="auto"/>
                <w:left w:val="none" w:sz="0" w:space="0" w:color="auto"/>
                <w:bottom w:val="none" w:sz="0" w:space="0" w:color="auto"/>
                <w:right w:val="none" w:sz="0" w:space="0" w:color="auto"/>
              </w:divBdr>
            </w:div>
            <w:div w:id="2043433593">
              <w:marLeft w:val="0"/>
              <w:marRight w:val="0"/>
              <w:marTop w:val="0"/>
              <w:marBottom w:val="0"/>
              <w:divBdr>
                <w:top w:val="none" w:sz="0" w:space="0" w:color="auto"/>
                <w:left w:val="none" w:sz="0" w:space="0" w:color="auto"/>
                <w:bottom w:val="none" w:sz="0" w:space="0" w:color="auto"/>
                <w:right w:val="none" w:sz="0" w:space="0" w:color="auto"/>
              </w:divBdr>
            </w:div>
          </w:divsChild>
        </w:div>
        <w:div w:id="544752662">
          <w:marLeft w:val="0"/>
          <w:marRight w:val="0"/>
          <w:marTop w:val="0"/>
          <w:marBottom w:val="0"/>
          <w:divBdr>
            <w:top w:val="none" w:sz="0" w:space="0" w:color="auto"/>
            <w:left w:val="none" w:sz="0" w:space="0" w:color="auto"/>
            <w:bottom w:val="none" w:sz="0" w:space="0" w:color="auto"/>
            <w:right w:val="none" w:sz="0" w:space="0" w:color="auto"/>
          </w:divBdr>
          <w:divsChild>
            <w:div w:id="2045403717">
              <w:marLeft w:val="0"/>
              <w:marRight w:val="0"/>
              <w:marTop w:val="360"/>
              <w:marBottom w:val="0"/>
              <w:divBdr>
                <w:top w:val="none" w:sz="0" w:space="0" w:color="auto"/>
                <w:left w:val="none" w:sz="0" w:space="0" w:color="auto"/>
                <w:bottom w:val="none" w:sz="0" w:space="0" w:color="auto"/>
                <w:right w:val="none" w:sz="0" w:space="0" w:color="auto"/>
              </w:divBdr>
            </w:div>
            <w:div w:id="435636930">
              <w:marLeft w:val="0"/>
              <w:marRight w:val="0"/>
              <w:marTop w:val="120"/>
              <w:marBottom w:val="0"/>
              <w:divBdr>
                <w:top w:val="none" w:sz="0" w:space="0" w:color="auto"/>
                <w:left w:val="none" w:sz="0" w:space="0" w:color="auto"/>
                <w:bottom w:val="none" w:sz="0" w:space="0" w:color="auto"/>
                <w:right w:val="none" w:sz="0" w:space="0" w:color="auto"/>
              </w:divBdr>
            </w:div>
            <w:div w:id="534465130">
              <w:marLeft w:val="0"/>
              <w:marRight w:val="0"/>
              <w:marTop w:val="120"/>
              <w:marBottom w:val="0"/>
              <w:divBdr>
                <w:top w:val="none" w:sz="0" w:space="0" w:color="auto"/>
                <w:left w:val="none" w:sz="0" w:space="0" w:color="auto"/>
                <w:bottom w:val="none" w:sz="0" w:space="0" w:color="auto"/>
                <w:right w:val="none" w:sz="0" w:space="0" w:color="auto"/>
              </w:divBdr>
            </w:div>
            <w:div w:id="1600874669">
              <w:marLeft w:val="0"/>
              <w:marRight w:val="0"/>
              <w:marTop w:val="120"/>
              <w:marBottom w:val="0"/>
              <w:divBdr>
                <w:top w:val="none" w:sz="0" w:space="0" w:color="auto"/>
                <w:left w:val="none" w:sz="0" w:space="0" w:color="auto"/>
                <w:bottom w:val="none" w:sz="0" w:space="0" w:color="auto"/>
                <w:right w:val="none" w:sz="0" w:space="0" w:color="auto"/>
              </w:divBdr>
            </w:div>
            <w:div w:id="1849054848">
              <w:marLeft w:val="0"/>
              <w:marRight w:val="0"/>
              <w:marTop w:val="120"/>
              <w:marBottom w:val="0"/>
              <w:divBdr>
                <w:top w:val="none" w:sz="0" w:space="0" w:color="auto"/>
                <w:left w:val="none" w:sz="0" w:space="0" w:color="auto"/>
                <w:bottom w:val="none" w:sz="0" w:space="0" w:color="auto"/>
                <w:right w:val="none" w:sz="0" w:space="0" w:color="auto"/>
              </w:divBdr>
            </w:div>
            <w:div w:id="498083350">
              <w:marLeft w:val="0"/>
              <w:marRight w:val="0"/>
              <w:marTop w:val="0"/>
              <w:marBottom w:val="0"/>
              <w:divBdr>
                <w:top w:val="none" w:sz="0" w:space="0" w:color="auto"/>
                <w:left w:val="none" w:sz="0" w:space="0" w:color="auto"/>
                <w:bottom w:val="none" w:sz="0" w:space="0" w:color="auto"/>
                <w:right w:val="none" w:sz="0" w:space="0" w:color="auto"/>
              </w:divBdr>
            </w:div>
            <w:div w:id="480195259">
              <w:marLeft w:val="0"/>
              <w:marRight w:val="0"/>
              <w:marTop w:val="0"/>
              <w:marBottom w:val="0"/>
              <w:divBdr>
                <w:top w:val="none" w:sz="0" w:space="0" w:color="auto"/>
                <w:left w:val="none" w:sz="0" w:space="0" w:color="auto"/>
                <w:bottom w:val="none" w:sz="0" w:space="0" w:color="auto"/>
                <w:right w:val="none" w:sz="0" w:space="0" w:color="auto"/>
              </w:divBdr>
            </w:div>
            <w:div w:id="1071075781">
              <w:marLeft w:val="0"/>
              <w:marRight w:val="0"/>
              <w:marTop w:val="0"/>
              <w:marBottom w:val="0"/>
              <w:divBdr>
                <w:top w:val="none" w:sz="0" w:space="0" w:color="auto"/>
                <w:left w:val="none" w:sz="0" w:space="0" w:color="auto"/>
                <w:bottom w:val="none" w:sz="0" w:space="0" w:color="auto"/>
                <w:right w:val="none" w:sz="0" w:space="0" w:color="auto"/>
              </w:divBdr>
            </w:div>
            <w:div w:id="637152342">
              <w:marLeft w:val="0"/>
              <w:marRight w:val="0"/>
              <w:marTop w:val="0"/>
              <w:marBottom w:val="0"/>
              <w:divBdr>
                <w:top w:val="none" w:sz="0" w:space="0" w:color="auto"/>
                <w:left w:val="none" w:sz="0" w:space="0" w:color="auto"/>
                <w:bottom w:val="none" w:sz="0" w:space="0" w:color="auto"/>
                <w:right w:val="none" w:sz="0" w:space="0" w:color="auto"/>
              </w:divBdr>
            </w:div>
            <w:div w:id="26874980">
              <w:marLeft w:val="0"/>
              <w:marRight w:val="0"/>
              <w:marTop w:val="0"/>
              <w:marBottom w:val="0"/>
              <w:divBdr>
                <w:top w:val="none" w:sz="0" w:space="0" w:color="auto"/>
                <w:left w:val="none" w:sz="0" w:space="0" w:color="auto"/>
                <w:bottom w:val="none" w:sz="0" w:space="0" w:color="auto"/>
                <w:right w:val="none" w:sz="0" w:space="0" w:color="auto"/>
              </w:divBdr>
            </w:div>
            <w:div w:id="1145657109">
              <w:marLeft w:val="0"/>
              <w:marRight w:val="0"/>
              <w:marTop w:val="0"/>
              <w:marBottom w:val="0"/>
              <w:divBdr>
                <w:top w:val="none" w:sz="0" w:space="0" w:color="auto"/>
                <w:left w:val="none" w:sz="0" w:space="0" w:color="auto"/>
                <w:bottom w:val="none" w:sz="0" w:space="0" w:color="auto"/>
                <w:right w:val="none" w:sz="0" w:space="0" w:color="auto"/>
              </w:divBdr>
            </w:div>
            <w:div w:id="1495800478">
              <w:marLeft w:val="0"/>
              <w:marRight w:val="0"/>
              <w:marTop w:val="0"/>
              <w:marBottom w:val="0"/>
              <w:divBdr>
                <w:top w:val="none" w:sz="0" w:space="0" w:color="auto"/>
                <w:left w:val="none" w:sz="0" w:space="0" w:color="auto"/>
                <w:bottom w:val="none" w:sz="0" w:space="0" w:color="auto"/>
                <w:right w:val="none" w:sz="0" w:space="0" w:color="auto"/>
              </w:divBdr>
            </w:div>
            <w:div w:id="497768405">
              <w:marLeft w:val="0"/>
              <w:marRight w:val="0"/>
              <w:marTop w:val="0"/>
              <w:marBottom w:val="0"/>
              <w:divBdr>
                <w:top w:val="none" w:sz="0" w:space="0" w:color="auto"/>
                <w:left w:val="none" w:sz="0" w:space="0" w:color="auto"/>
                <w:bottom w:val="none" w:sz="0" w:space="0" w:color="auto"/>
                <w:right w:val="none" w:sz="0" w:space="0" w:color="auto"/>
              </w:divBdr>
            </w:div>
            <w:div w:id="713235500">
              <w:marLeft w:val="0"/>
              <w:marRight w:val="0"/>
              <w:marTop w:val="0"/>
              <w:marBottom w:val="0"/>
              <w:divBdr>
                <w:top w:val="none" w:sz="0" w:space="0" w:color="auto"/>
                <w:left w:val="none" w:sz="0" w:space="0" w:color="auto"/>
                <w:bottom w:val="none" w:sz="0" w:space="0" w:color="auto"/>
                <w:right w:val="none" w:sz="0" w:space="0" w:color="auto"/>
              </w:divBdr>
            </w:div>
            <w:div w:id="1253395676">
              <w:marLeft w:val="0"/>
              <w:marRight w:val="0"/>
              <w:marTop w:val="0"/>
              <w:marBottom w:val="0"/>
              <w:divBdr>
                <w:top w:val="none" w:sz="0" w:space="0" w:color="auto"/>
                <w:left w:val="none" w:sz="0" w:space="0" w:color="auto"/>
                <w:bottom w:val="none" w:sz="0" w:space="0" w:color="auto"/>
                <w:right w:val="none" w:sz="0" w:space="0" w:color="auto"/>
              </w:divBdr>
            </w:div>
            <w:div w:id="1048990030">
              <w:marLeft w:val="0"/>
              <w:marRight w:val="0"/>
              <w:marTop w:val="0"/>
              <w:marBottom w:val="0"/>
              <w:divBdr>
                <w:top w:val="none" w:sz="0" w:space="0" w:color="auto"/>
                <w:left w:val="none" w:sz="0" w:space="0" w:color="auto"/>
                <w:bottom w:val="none" w:sz="0" w:space="0" w:color="auto"/>
                <w:right w:val="none" w:sz="0" w:space="0" w:color="auto"/>
              </w:divBdr>
            </w:div>
            <w:div w:id="823665385">
              <w:marLeft w:val="0"/>
              <w:marRight w:val="0"/>
              <w:marTop w:val="0"/>
              <w:marBottom w:val="0"/>
              <w:divBdr>
                <w:top w:val="none" w:sz="0" w:space="0" w:color="auto"/>
                <w:left w:val="none" w:sz="0" w:space="0" w:color="auto"/>
                <w:bottom w:val="none" w:sz="0" w:space="0" w:color="auto"/>
                <w:right w:val="none" w:sz="0" w:space="0" w:color="auto"/>
              </w:divBdr>
            </w:div>
            <w:div w:id="1531528507">
              <w:marLeft w:val="0"/>
              <w:marRight w:val="0"/>
              <w:marTop w:val="0"/>
              <w:marBottom w:val="0"/>
              <w:divBdr>
                <w:top w:val="none" w:sz="0" w:space="0" w:color="auto"/>
                <w:left w:val="none" w:sz="0" w:space="0" w:color="auto"/>
                <w:bottom w:val="none" w:sz="0" w:space="0" w:color="auto"/>
                <w:right w:val="none" w:sz="0" w:space="0" w:color="auto"/>
              </w:divBdr>
            </w:div>
            <w:div w:id="359162763">
              <w:marLeft w:val="0"/>
              <w:marRight w:val="0"/>
              <w:marTop w:val="0"/>
              <w:marBottom w:val="0"/>
              <w:divBdr>
                <w:top w:val="none" w:sz="0" w:space="0" w:color="auto"/>
                <w:left w:val="none" w:sz="0" w:space="0" w:color="auto"/>
                <w:bottom w:val="none" w:sz="0" w:space="0" w:color="auto"/>
                <w:right w:val="none" w:sz="0" w:space="0" w:color="auto"/>
              </w:divBdr>
            </w:div>
            <w:div w:id="1607498157">
              <w:marLeft w:val="0"/>
              <w:marRight w:val="0"/>
              <w:marTop w:val="0"/>
              <w:marBottom w:val="0"/>
              <w:divBdr>
                <w:top w:val="none" w:sz="0" w:space="0" w:color="auto"/>
                <w:left w:val="none" w:sz="0" w:space="0" w:color="auto"/>
                <w:bottom w:val="none" w:sz="0" w:space="0" w:color="auto"/>
                <w:right w:val="none" w:sz="0" w:space="0" w:color="auto"/>
              </w:divBdr>
            </w:div>
            <w:div w:id="392893184">
              <w:marLeft w:val="0"/>
              <w:marRight w:val="0"/>
              <w:marTop w:val="0"/>
              <w:marBottom w:val="0"/>
              <w:divBdr>
                <w:top w:val="none" w:sz="0" w:space="0" w:color="auto"/>
                <w:left w:val="none" w:sz="0" w:space="0" w:color="auto"/>
                <w:bottom w:val="none" w:sz="0" w:space="0" w:color="auto"/>
                <w:right w:val="none" w:sz="0" w:space="0" w:color="auto"/>
              </w:divBdr>
            </w:div>
            <w:div w:id="1732851666">
              <w:marLeft w:val="0"/>
              <w:marRight w:val="0"/>
              <w:marTop w:val="0"/>
              <w:marBottom w:val="0"/>
              <w:divBdr>
                <w:top w:val="none" w:sz="0" w:space="0" w:color="auto"/>
                <w:left w:val="none" w:sz="0" w:space="0" w:color="auto"/>
                <w:bottom w:val="none" w:sz="0" w:space="0" w:color="auto"/>
                <w:right w:val="none" w:sz="0" w:space="0" w:color="auto"/>
              </w:divBdr>
            </w:div>
            <w:div w:id="447890561">
              <w:marLeft w:val="0"/>
              <w:marRight w:val="0"/>
              <w:marTop w:val="0"/>
              <w:marBottom w:val="0"/>
              <w:divBdr>
                <w:top w:val="none" w:sz="0" w:space="0" w:color="auto"/>
                <w:left w:val="none" w:sz="0" w:space="0" w:color="auto"/>
                <w:bottom w:val="none" w:sz="0" w:space="0" w:color="auto"/>
                <w:right w:val="none" w:sz="0" w:space="0" w:color="auto"/>
              </w:divBdr>
            </w:div>
            <w:div w:id="396131284">
              <w:marLeft w:val="0"/>
              <w:marRight w:val="0"/>
              <w:marTop w:val="0"/>
              <w:marBottom w:val="0"/>
              <w:divBdr>
                <w:top w:val="none" w:sz="0" w:space="0" w:color="auto"/>
                <w:left w:val="none" w:sz="0" w:space="0" w:color="auto"/>
                <w:bottom w:val="none" w:sz="0" w:space="0" w:color="auto"/>
                <w:right w:val="none" w:sz="0" w:space="0" w:color="auto"/>
              </w:divBdr>
            </w:div>
          </w:divsChild>
        </w:div>
        <w:div w:id="238055815">
          <w:marLeft w:val="0"/>
          <w:marRight w:val="0"/>
          <w:marTop w:val="0"/>
          <w:marBottom w:val="0"/>
          <w:divBdr>
            <w:top w:val="none" w:sz="0" w:space="0" w:color="auto"/>
            <w:left w:val="none" w:sz="0" w:space="0" w:color="auto"/>
            <w:bottom w:val="none" w:sz="0" w:space="0" w:color="auto"/>
            <w:right w:val="none" w:sz="0" w:space="0" w:color="auto"/>
          </w:divBdr>
          <w:divsChild>
            <w:div w:id="501316565">
              <w:marLeft w:val="0"/>
              <w:marRight w:val="0"/>
              <w:marTop w:val="120"/>
              <w:marBottom w:val="0"/>
              <w:divBdr>
                <w:top w:val="none" w:sz="0" w:space="0" w:color="auto"/>
                <w:left w:val="none" w:sz="0" w:space="0" w:color="auto"/>
                <w:bottom w:val="none" w:sz="0" w:space="0" w:color="auto"/>
                <w:right w:val="none" w:sz="0" w:space="0" w:color="auto"/>
              </w:divBdr>
            </w:div>
            <w:div w:id="1040282380">
              <w:marLeft w:val="0"/>
              <w:marRight w:val="0"/>
              <w:marTop w:val="0"/>
              <w:marBottom w:val="0"/>
              <w:divBdr>
                <w:top w:val="none" w:sz="0" w:space="0" w:color="auto"/>
                <w:left w:val="none" w:sz="0" w:space="0" w:color="auto"/>
                <w:bottom w:val="none" w:sz="0" w:space="0" w:color="auto"/>
                <w:right w:val="none" w:sz="0" w:space="0" w:color="auto"/>
              </w:divBdr>
            </w:div>
            <w:div w:id="756101711">
              <w:marLeft w:val="0"/>
              <w:marRight w:val="0"/>
              <w:marTop w:val="0"/>
              <w:marBottom w:val="0"/>
              <w:divBdr>
                <w:top w:val="none" w:sz="0" w:space="0" w:color="auto"/>
                <w:left w:val="none" w:sz="0" w:space="0" w:color="auto"/>
                <w:bottom w:val="none" w:sz="0" w:space="0" w:color="auto"/>
                <w:right w:val="none" w:sz="0" w:space="0" w:color="auto"/>
              </w:divBdr>
            </w:div>
            <w:div w:id="290285804">
              <w:marLeft w:val="0"/>
              <w:marRight w:val="0"/>
              <w:marTop w:val="0"/>
              <w:marBottom w:val="0"/>
              <w:divBdr>
                <w:top w:val="none" w:sz="0" w:space="0" w:color="auto"/>
                <w:left w:val="none" w:sz="0" w:space="0" w:color="auto"/>
                <w:bottom w:val="none" w:sz="0" w:space="0" w:color="auto"/>
                <w:right w:val="none" w:sz="0" w:space="0" w:color="auto"/>
              </w:divBdr>
            </w:div>
            <w:div w:id="1566405180">
              <w:marLeft w:val="0"/>
              <w:marRight w:val="0"/>
              <w:marTop w:val="0"/>
              <w:marBottom w:val="0"/>
              <w:divBdr>
                <w:top w:val="none" w:sz="0" w:space="0" w:color="auto"/>
                <w:left w:val="none" w:sz="0" w:space="0" w:color="auto"/>
                <w:bottom w:val="none" w:sz="0" w:space="0" w:color="auto"/>
                <w:right w:val="none" w:sz="0" w:space="0" w:color="auto"/>
              </w:divBdr>
            </w:div>
            <w:div w:id="522981043">
              <w:marLeft w:val="0"/>
              <w:marRight w:val="0"/>
              <w:marTop w:val="0"/>
              <w:marBottom w:val="0"/>
              <w:divBdr>
                <w:top w:val="none" w:sz="0" w:space="0" w:color="auto"/>
                <w:left w:val="none" w:sz="0" w:space="0" w:color="auto"/>
                <w:bottom w:val="none" w:sz="0" w:space="0" w:color="auto"/>
                <w:right w:val="none" w:sz="0" w:space="0" w:color="auto"/>
              </w:divBdr>
            </w:div>
            <w:div w:id="27724225">
              <w:marLeft w:val="0"/>
              <w:marRight w:val="0"/>
              <w:marTop w:val="0"/>
              <w:marBottom w:val="0"/>
              <w:divBdr>
                <w:top w:val="none" w:sz="0" w:space="0" w:color="auto"/>
                <w:left w:val="none" w:sz="0" w:space="0" w:color="auto"/>
                <w:bottom w:val="none" w:sz="0" w:space="0" w:color="auto"/>
                <w:right w:val="none" w:sz="0" w:space="0" w:color="auto"/>
              </w:divBdr>
            </w:div>
            <w:div w:id="688676818">
              <w:marLeft w:val="0"/>
              <w:marRight w:val="0"/>
              <w:marTop w:val="0"/>
              <w:marBottom w:val="0"/>
              <w:divBdr>
                <w:top w:val="none" w:sz="0" w:space="0" w:color="auto"/>
                <w:left w:val="none" w:sz="0" w:space="0" w:color="auto"/>
                <w:bottom w:val="none" w:sz="0" w:space="0" w:color="auto"/>
                <w:right w:val="none" w:sz="0" w:space="0" w:color="auto"/>
              </w:divBdr>
            </w:div>
            <w:div w:id="604773262">
              <w:marLeft w:val="0"/>
              <w:marRight w:val="0"/>
              <w:marTop w:val="0"/>
              <w:marBottom w:val="0"/>
              <w:divBdr>
                <w:top w:val="none" w:sz="0" w:space="0" w:color="auto"/>
                <w:left w:val="none" w:sz="0" w:space="0" w:color="auto"/>
                <w:bottom w:val="none" w:sz="0" w:space="0" w:color="auto"/>
                <w:right w:val="none" w:sz="0" w:space="0" w:color="auto"/>
              </w:divBdr>
            </w:div>
            <w:div w:id="405764027">
              <w:marLeft w:val="0"/>
              <w:marRight w:val="0"/>
              <w:marTop w:val="0"/>
              <w:marBottom w:val="0"/>
              <w:divBdr>
                <w:top w:val="none" w:sz="0" w:space="0" w:color="auto"/>
                <w:left w:val="none" w:sz="0" w:space="0" w:color="auto"/>
                <w:bottom w:val="none" w:sz="0" w:space="0" w:color="auto"/>
                <w:right w:val="none" w:sz="0" w:space="0" w:color="auto"/>
              </w:divBdr>
            </w:div>
            <w:div w:id="1733887413">
              <w:marLeft w:val="0"/>
              <w:marRight w:val="0"/>
              <w:marTop w:val="0"/>
              <w:marBottom w:val="0"/>
              <w:divBdr>
                <w:top w:val="none" w:sz="0" w:space="0" w:color="auto"/>
                <w:left w:val="none" w:sz="0" w:space="0" w:color="auto"/>
                <w:bottom w:val="none" w:sz="0" w:space="0" w:color="auto"/>
                <w:right w:val="none" w:sz="0" w:space="0" w:color="auto"/>
              </w:divBdr>
            </w:div>
            <w:div w:id="90971892">
              <w:marLeft w:val="0"/>
              <w:marRight w:val="0"/>
              <w:marTop w:val="0"/>
              <w:marBottom w:val="0"/>
              <w:divBdr>
                <w:top w:val="none" w:sz="0" w:space="0" w:color="auto"/>
                <w:left w:val="none" w:sz="0" w:space="0" w:color="auto"/>
                <w:bottom w:val="none" w:sz="0" w:space="0" w:color="auto"/>
                <w:right w:val="none" w:sz="0" w:space="0" w:color="auto"/>
              </w:divBdr>
            </w:div>
            <w:div w:id="1997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3492</Words>
  <Characters>19909</Characters>
  <Application>Microsoft Office Word</Application>
  <DocSecurity>0</DocSecurity>
  <Lines>165</Lines>
  <Paragraphs>46</Paragraphs>
  <ScaleCrop>false</ScaleCrop>
  <Company>Searchmedia</Company>
  <LinksUpToDate>false</LinksUpToDate>
  <CharactersWithSpaces>23355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2012-02-06T06:37:00Z</dcterms:created>
  <dcterms:modified xsi:type="dcterms:W3CDTF">2012-02-06T06:37:00Z</dcterms:modified>
</cp:coreProperties>
</file>